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0605A">
      <w:pPr>
        <w:spacing w:line="360" w:lineRule="auto"/>
        <w:jc w:val="center"/>
        <w:rPr>
          <w:rFonts w:hint="eastAsia" w:ascii="宋体" w:hAnsi="宋体" w:eastAsia="宋体" w:cs="宋体"/>
          <w:sz w:val="24"/>
          <w:szCs w:val="24"/>
          <w:lang w:val="en-US" w:eastAsia="zh-CN"/>
        </w:rPr>
      </w:pPr>
    </w:p>
    <w:p w14:paraId="4AF44203">
      <w:pPr>
        <w:spacing w:line="360" w:lineRule="auto"/>
        <w:jc w:val="center"/>
        <w:rPr>
          <w:rFonts w:hint="eastAsia" w:ascii="宋体" w:hAnsi="宋体" w:eastAsia="宋体" w:cs="宋体"/>
          <w:sz w:val="24"/>
          <w:szCs w:val="24"/>
          <w:lang w:val="en-US" w:eastAsia="zh-CN"/>
        </w:rPr>
      </w:pPr>
      <w:bookmarkStart w:id="0" w:name="_GoBack"/>
      <w:r>
        <w:rPr>
          <w:rFonts w:hint="eastAsia" w:ascii="宋体" w:hAnsi="宋体" w:eastAsia="宋体" w:cs="宋体"/>
          <w:sz w:val="24"/>
          <w:szCs w:val="24"/>
          <w:lang w:val="en-US" w:eastAsia="zh-CN"/>
        </w:rPr>
        <w:t>永定区应急广播建设项目</w:t>
      </w:r>
      <w:bookmarkEnd w:id="0"/>
    </w:p>
    <w:p w14:paraId="0EA130F3">
      <w:pPr>
        <w:pStyle w:val="20"/>
        <w:spacing w:line="360" w:lineRule="auto"/>
        <w:jc w:val="both"/>
        <w:rPr>
          <w:rFonts w:hint="eastAsia" w:ascii="宋体" w:hAnsi="宋体" w:eastAsia="宋体" w:cs="宋体"/>
          <w:sz w:val="28"/>
          <w:szCs w:val="28"/>
        </w:rPr>
      </w:pPr>
      <w:r>
        <w:rPr>
          <w:rFonts w:hint="eastAsia" w:ascii="宋体" w:hAnsi="宋体" w:eastAsia="宋体" w:cs="宋体"/>
          <w:sz w:val="24"/>
          <w:szCs w:val="24"/>
        </w:rPr>
        <w:t>采购包1：</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w:t>
      </w:r>
    </w:p>
    <w:p w14:paraId="7737B9B7">
      <w:pPr>
        <w:pStyle w:val="20"/>
        <w:spacing w:line="360" w:lineRule="auto"/>
        <w:jc w:val="center"/>
        <w:outlineLvl w:val="1"/>
        <w:rPr>
          <w:rFonts w:hint="eastAsia" w:ascii="宋体" w:hAnsi="宋体" w:eastAsia="宋体" w:cs="宋体"/>
          <w:sz w:val="24"/>
          <w:szCs w:val="24"/>
        </w:rPr>
      </w:pPr>
      <w:r>
        <w:rPr>
          <w:rFonts w:hint="eastAsia" w:ascii="宋体" w:hAnsi="宋体" w:eastAsia="宋体" w:cs="宋体"/>
          <w:b/>
          <w:sz w:val="24"/>
          <w:szCs w:val="24"/>
        </w:rPr>
        <w:t>招标内容及要求</w:t>
      </w:r>
    </w:p>
    <w:p w14:paraId="7B55FE49">
      <w:pPr>
        <w:pStyle w:val="20"/>
        <w:spacing w:line="360" w:lineRule="auto"/>
        <w:jc w:val="both"/>
        <w:outlineLvl w:val="2"/>
        <w:rPr>
          <w:rFonts w:hint="eastAsia" w:ascii="宋体" w:hAnsi="宋体" w:eastAsia="宋体" w:cs="宋体"/>
          <w:sz w:val="21"/>
          <w:szCs w:val="21"/>
        </w:rPr>
      </w:pPr>
      <w:r>
        <w:rPr>
          <w:rFonts w:hint="eastAsia" w:ascii="宋体" w:hAnsi="宋体" w:eastAsia="宋体" w:cs="宋体"/>
          <w:b/>
          <w:sz w:val="24"/>
          <w:szCs w:val="24"/>
        </w:rPr>
        <w:t>一、</w:t>
      </w:r>
      <w:r>
        <w:rPr>
          <w:rFonts w:hint="eastAsia" w:ascii="宋体" w:hAnsi="宋体" w:eastAsia="宋体" w:cs="宋体"/>
          <w:b/>
          <w:sz w:val="21"/>
          <w:szCs w:val="21"/>
        </w:rPr>
        <w:t>项目概况（采购标的）</w:t>
      </w:r>
    </w:p>
    <w:p w14:paraId="24612AF3">
      <w:pPr>
        <w:pStyle w:val="20"/>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sz w:val="21"/>
          <w:szCs w:val="21"/>
        </w:rPr>
      </w:pPr>
      <w:r>
        <w:rPr>
          <w:rFonts w:hint="eastAsia" w:ascii="宋体" w:hAnsi="宋体" w:eastAsia="宋体" w:cs="宋体"/>
          <w:b/>
          <w:color w:val="000000"/>
          <w:sz w:val="21"/>
          <w:szCs w:val="21"/>
        </w:rPr>
        <w:t>本次</w:t>
      </w:r>
      <w:r>
        <w:rPr>
          <w:rFonts w:hint="eastAsia" w:ascii="宋体" w:hAnsi="宋体" w:eastAsia="宋体" w:cs="宋体"/>
          <w:b/>
          <w:color w:val="000000"/>
          <w:sz w:val="21"/>
          <w:szCs w:val="21"/>
          <w:lang w:val="en-US" w:eastAsia="zh-CN"/>
        </w:rPr>
        <w:t>永定区</w:t>
      </w:r>
      <w:r>
        <w:rPr>
          <w:rFonts w:hint="eastAsia" w:ascii="宋体" w:hAnsi="宋体" w:eastAsia="宋体" w:cs="宋体"/>
          <w:b/>
          <w:color w:val="000000"/>
          <w:sz w:val="21"/>
          <w:szCs w:val="21"/>
        </w:rPr>
        <w:t>应急广播项目主要规划建设分为3部分：</w:t>
      </w:r>
    </w:p>
    <w:p w14:paraId="5EA01954">
      <w:pPr>
        <w:pStyle w:val="20"/>
        <w:keepNext w:val="0"/>
        <w:keepLines w:val="0"/>
        <w:pageBreakBefore w:val="0"/>
        <w:widowControl/>
        <w:kinsoku/>
        <w:wordWrap/>
        <w:overflowPunct/>
        <w:topLinePunct w:val="0"/>
        <w:autoSpaceDE/>
        <w:autoSpaceDN/>
        <w:bidi w:val="0"/>
        <w:adjustRightInd/>
        <w:snapToGrid/>
        <w:spacing w:before="105" w:after="105" w:line="360" w:lineRule="auto"/>
        <w:ind w:firstLine="482"/>
        <w:jc w:val="left"/>
        <w:textAlignment w:val="auto"/>
        <w:rPr>
          <w:rFonts w:hint="eastAsia" w:ascii="宋体" w:hAnsi="宋体" w:eastAsia="宋体" w:cs="宋体"/>
          <w:sz w:val="21"/>
          <w:szCs w:val="21"/>
        </w:rPr>
      </w:pPr>
      <w:r>
        <w:rPr>
          <w:rFonts w:hint="eastAsia" w:ascii="宋体" w:hAnsi="宋体" w:eastAsia="宋体" w:cs="宋体"/>
          <w:b/>
          <w:color w:val="000000"/>
          <w:sz w:val="21"/>
          <w:szCs w:val="21"/>
        </w:rPr>
        <w:t>1、县级应急广播平台</w:t>
      </w:r>
    </w:p>
    <w:p w14:paraId="07DCCB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420" w:firstLineChars="200"/>
        <w:textAlignment w:val="auto"/>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pPr>
      <w:r>
        <w:rPr>
          <w:rFonts w:hint="eastAsia" w:ascii="宋体" w:hAnsi="宋体" w:eastAsia="宋体" w:cs="宋体"/>
          <w:color w:val="000000"/>
          <w:sz w:val="21"/>
          <w:szCs w:val="21"/>
        </w:rPr>
        <w:t>此次</w:t>
      </w:r>
      <w:r>
        <w:rPr>
          <w:rFonts w:hint="eastAsia" w:ascii="宋体" w:hAnsi="宋体" w:eastAsia="宋体" w:cs="宋体"/>
          <w:color w:val="000000"/>
          <w:sz w:val="21"/>
          <w:szCs w:val="21"/>
          <w:lang w:val="en-US" w:eastAsia="zh-CN"/>
        </w:rPr>
        <w:t>永定区</w:t>
      </w:r>
      <w:r>
        <w:rPr>
          <w:rFonts w:hint="eastAsia" w:ascii="宋体" w:hAnsi="宋体" w:eastAsia="宋体" w:cs="宋体"/>
          <w:color w:val="000000"/>
          <w:sz w:val="21"/>
          <w:szCs w:val="21"/>
        </w:rPr>
        <w:t>应急广播项目规划搭建1套县级应急广播平台。</w:t>
      </w:r>
      <w:r>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t>部署应急广播平台综合支撑系统软件各 1 套；</w:t>
      </w:r>
    </w:p>
    <w:p w14:paraId="3D41EDBC">
      <w:pPr>
        <w:pStyle w:val="20"/>
        <w:keepNext w:val="0"/>
        <w:keepLines w:val="0"/>
        <w:pageBreakBefore w:val="0"/>
        <w:widowControl/>
        <w:kinsoku/>
        <w:wordWrap/>
        <w:overflowPunct/>
        <w:topLinePunct w:val="0"/>
        <w:autoSpaceDE/>
        <w:autoSpaceDN/>
        <w:bidi w:val="0"/>
        <w:adjustRightInd/>
        <w:snapToGrid/>
        <w:spacing w:before="105" w:after="105"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其中平台的建设包含了应急广播传输覆盖网络适配系统和系统平台的安全防护费用。</w:t>
      </w:r>
    </w:p>
    <w:p w14:paraId="614D70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420" w:firstLineChars="200"/>
        <w:textAlignment w:val="auto"/>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t>服务器及系统设备：配备应急广播服务器 2 台、时钟校准服务器 1 台；ip监听音箱等辅助设备。</w:t>
      </w:r>
    </w:p>
    <w:p w14:paraId="1C5493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420" w:firstLineChars="200"/>
        <w:textAlignment w:val="auto"/>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t>安全防护设备：部署下一代防火墙、安全防护系统、日志审计系统各 1 套，完成二级等保评测及认证。</w:t>
      </w:r>
    </w:p>
    <w:p w14:paraId="727F0C51">
      <w:pPr>
        <w:pStyle w:val="20"/>
        <w:keepNext w:val="0"/>
        <w:keepLines w:val="0"/>
        <w:pageBreakBefore w:val="0"/>
        <w:widowControl/>
        <w:kinsoku/>
        <w:wordWrap/>
        <w:overflowPunct/>
        <w:topLinePunct w:val="0"/>
        <w:autoSpaceDE/>
        <w:autoSpaceDN/>
        <w:bidi w:val="0"/>
        <w:adjustRightInd/>
        <w:snapToGrid/>
        <w:spacing w:before="105" w:after="105" w:line="360" w:lineRule="auto"/>
        <w:ind w:firstLine="482"/>
        <w:jc w:val="left"/>
        <w:textAlignment w:val="auto"/>
        <w:rPr>
          <w:rFonts w:hint="eastAsia" w:ascii="宋体" w:hAnsi="宋体" w:eastAsia="宋体" w:cs="宋体"/>
          <w:sz w:val="21"/>
          <w:szCs w:val="21"/>
        </w:rPr>
      </w:pPr>
      <w:r>
        <w:rPr>
          <w:rFonts w:hint="eastAsia" w:ascii="宋体" w:hAnsi="宋体" w:eastAsia="宋体" w:cs="宋体"/>
          <w:b/>
          <w:color w:val="000000"/>
          <w:sz w:val="21"/>
          <w:szCs w:val="21"/>
        </w:rPr>
        <w:t xml:space="preserve">2、镇级应急广播平台  </w:t>
      </w:r>
    </w:p>
    <w:p w14:paraId="36095B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建设</w:t>
      </w:r>
      <w:r>
        <w:rPr>
          <w:rFonts w:hint="eastAsia" w:ascii="宋体" w:hAnsi="宋体" w:eastAsia="宋体" w:cs="宋体"/>
          <w:color w:val="000000"/>
          <w:sz w:val="21"/>
          <w:szCs w:val="21"/>
          <w:lang w:val="en-US" w:eastAsia="zh-CN"/>
        </w:rPr>
        <w:t>24</w:t>
      </w:r>
      <w:r>
        <w:rPr>
          <w:rFonts w:hint="eastAsia" w:ascii="宋体" w:hAnsi="宋体" w:eastAsia="宋体" w:cs="宋体"/>
          <w:color w:val="000000"/>
          <w:sz w:val="21"/>
          <w:szCs w:val="21"/>
        </w:rPr>
        <w:t>套乡镇级分控平台：</w:t>
      </w:r>
      <w:r>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t>为全区 24 个乡镇（街道）各配备 1 套前端控制设备，包括：IP 话筒24台、工作站 24 台、分控软件 24 套；网络交换机 24 台、IP 监听音箱 24 台、播控台与55寸显示屏各24套及配套辅材，实现乡镇级应急信息的本地化发布、调度及设备状态监测。</w:t>
      </w:r>
    </w:p>
    <w:p w14:paraId="03B7E326">
      <w:pPr>
        <w:pStyle w:val="20"/>
        <w:keepNext w:val="0"/>
        <w:keepLines w:val="0"/>
        <w:pageBreakBefore w:val="0"/>
        <w:widowControl/>
        <w:numPr>
          <w:ilvl w:val="0"/>
          <w:numId w:val="1"/>
        </w:numPr>
        <w:kinsoku/>
        <w:wordWrap/>
        <w:overflowPunct/>
        <w:topLinePunct w:val="0"/>
        <w:autoSpaceDE/>
        <w:autoSpaceDN/>
        <w:bidi w:val="0"/>
        <w:adjustRightInd/>
        <w:snapToGrid/>
        <w:spacing w:before="105" w:after="105" w:line="360" w:lineRule="auto"/>
        <w:ind w:firstLine="482"/>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应急广播终端  </w:t>
      </w:r>
    </w:p>
    <w:p w14:paraId="1ED50C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420" w:firstLineChars="200"/>
        <w:textAlignment w:val="auto"/>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t>覆盖全区 262 个行政村，每村配置：</w:t>
      </w:r>
    </w:p>
    <w:p w14:paraId="7955E4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420" w:firstLineChars="200"/>
        <w:textAlignment w:val="auto"/>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t>村级应急广播IP 话筒262 台；</w:t>
      </w:r>
    </w:p>
    <w:p w14:paraId="463F59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420" w:firstLineChars="200"/>
        <w:textAlignment w:val="auto"/>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t>智能多模收扩机262 台、高音喇叭524 台；</w:t>
      </w:r>
    </w:p>
    <w:p w14:paraId="243254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420" w:firstLineChars="200"/>
        <w:textAlignment w:val="auto"/>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t>设备箱262套及配套辅材，确保行政村范围内应急信息通过喇叭、音柱等终端全覆盖。</w:t>
      </w:r>
    </w:p>
    <w:p w14:paraId="568E15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420" w:firstLineChars="200"/>
        <w:textAlignment w:val="auto"/>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t>完成区级平台、乡镇前端、行政村终端的硬件安装、软件部署及网络对接，实现三级系统数据交互与统一管控；</w:t>
      </w:r>
    </w:p>
    <w:p w14:paraId="66F434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rightChars="0" w:firstLine="420" w:firstLineChars="200"/>
        <w:textAlignment w:val="auto"/>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1"/>
          <w:szCs w:val="21"/>
          <w:shd w:val="clear" w:fill="FDFDFE"/>
          <w:lang w:val="en-US" w:eastAsia="zh-CN"/>
          <w14:textFill>
            <w14:solidFill>
              <w14:schemeClr w14:val="tx1">
                <w14:lumMod w14:val="95000"/>
                <w14:lumOff w14:val="5000"/>
              </w14:schemeClr>
            </w14:solidFill>
          </w14:textFill>
        </w:rPr>
        <w:t>搭建区 - 镇 - 村三级传输网络（光纤为主、无线为辅），确保应急信息从区级平台到基层终端的高效传递。</w:t>
      </w:r>
    </w:p>
    <w:p w14:paraId="03972692">
      <w:pPr>
        <w:rPr>
          <w:rFonts w:hint="eastAsia"/>
          <w:lang w:val="en-US" w:eastAsia="zh-CN"/>
        </w:rPr>
      </w:pPr>
    </w:p>
    <w:p w14:paraId="13E7985B">
      <w:pPr>
        <w:pStyle w:val="20"/>
        <w:keepNext w:val="0"/>
        <w:keepLines w:val="0"/>
        <w:pageBreakBefore w:val="0"/>
        <w:widowControl/>
        <w:kinsoku/>
        <w:wordWrap/>
        <w:overflowPunct/>
        <w:topLinePunct w:val="0"/>
        <w:autoSpaceDE/>
        <w:autoSpaceDN/>
        <w:bidi w:val="0"/>
        <w:adjustRightInd/>
        <w:snapToGrid/>
        <w:spacing w:before="105" w:after="105" w:line="360" w:lineRule="auto"/>
        <w:ind w:firstLine="482"/>
        <w:jc w:val="left"/>
        <w:textAlignment w:val="auto"/>
        <w:rPr>
          <w:rFonts w:hint="eastAsia" w:ascii="宋体" w:hAnsi="宋体" w:eastAsia="宋体" w:cs="宋体"/>
          <w:color w:val="000000"/>
          <w:sz w:val="28"/>
          <w:szCs w:val="28"/>
        </w:rPr>
      </w:pPr>
      <w:r>
        <w:rPr>
          <w:rFonts w:hint="eastAsia" w:ascii="宋体" w:hAnsi="宋体" w:eastAsia="宋体" w:cs="宋体"/>
          <w:sz w:val="28"/>
          <w:szCs w:val="28"/>
        </w:rPr>
        <w:t>★平台建设必须对接市级和省级紧急广播平台。</w:t>
      </w:r>
    </w:p>
    <w:p w14:paraId="483BE504">
      <w:pPr>
        <w:pStyle w:val="20"/>
        <w:spacing w:line="360" w:lineRule="auto"/>
        <w:jc w:val="both"/>
        <w:rPr>
          <w:rFonts w:hint="eastAsia" w:ascii="宋体" w:hAnsi="宋体" w:eastAsia="宋体" w:cs="宋体"/>
          <w:sz w:val="24"/>
          <w:szCs w:val="24"/>
          <w:highlight w:val="yellow"/>
        </w:rPr>
      </w:pPr>
    </w:p>
    <w:p w14:paraId="69FA9252">
      <w:pPr>
        <w:pStyle w:val="20"/>
        <w:spacing w:line="360" w:lineRule="auto"/>
        <w:jc w:val="both"/>
        <w:rPr>
          <w:rFonts w:hint="eastAsia" w:ascii="宋体" w:hAnsi="宋体" w:eastAsia="宋体" w:cs="宋体"/>
          <w:sz w:val="24"/>
          <w:szCs w:val="24"/>
          <w:highlight w:val="yellow"/>
        </w:rPr>
      </w:pPr>
    </w:p>
    <w:p w14:paraId="0EAA2E9C">
      <w:pPr>
        <w:pStyle w:val="20"/>
        <w:spacing w:line="360" w:lineRule="auto"/>
        <w:jc w:val="both"/>
        <w:rPr>
          <w:rFonts w:hint="eastAsia" w:ascii="宋体" w:hAnsi="宋体" w:eastAsia="宋体" w:cs="宋体"/>
          <w:sz w:val="24"/>
          <w:szCs w:val="24"/>
          <w:highlight w:val="yellow"/>
        </w:rPr>
      </w:pPr>
      <w:r>
        <w:rPr>
          <w:rFonts w:hint="eastAsia" w:ascii="宋体" w:hAnsi="宋体" w:eastAsia="宋体" w:cs="宋体"/>
          <w:sz w:val="24"/>
          <w:szCs w:val="24"/>
          <w:highlight w:val="yellow"/>
        </w:rPr>
        <w:t>价格项（F1×A1）满分为</w:t>
      </w:r>
      <w:r>
        <w:rPr>
          <w:rFonts w:hint="eastAsia" w:ascii="宋体" w:hAnsi="宋体" w:eastAsia="宋体" w:cs="宋体"/>
          <w:sz w:val="24"/>
          <w:szCs w:val="24"/>
          <w:highlight w:val="yellow"/>
          <w:lang w:val="en-US" w:eastAsia="zh-CN"/>
        </w:rPr>
        <w:t>10</w:t>
      </w:r>
      <w:r>
        <w:rPr>
          <w:rFonts w:hint="eastAsia" w:ascii="宋体" w:hAnsi="宋体" w:eastAsia="宋体" w:cs="宋体"/>
          <w:sz w:val="24"/>
          <w:szCs w:val="24"/>
          <w:highlight w:val="yellow"/>
        </w:rPr>
        <w:t>.0000分</w:t>
      </w:r>
    </w:p>
    <w:p w14:paraId="1EA66D62">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24EAE85A">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其他：无</w:t>
      </w:r>
    </w:p>
    <w:p w14:paraId="0C79FC11">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技术项（F2×A2）满分为</w:t>
      </w:r>
      <w:r>
        <w:rPr>
          <w:rFonts w:hint="eastAsia" w:ascii="宋体" w:hAnsi="宋体" w:eastAsia="宋体" w:cs="宋体"/>
          <w:sz w:val="24"/>
          <w:szCs w:val="24"/>
          <w:lang w:val="en-US" w:eastAsia="zh-CN"/>
        </w:rPr>
        <w:t>75</w:t>
      </w:r>
      <w:r>
        <w:rPr>
          <w:rFonts w:hint="eastAsia" w:ascii="宋体" w:hAnsi="宋体" w:eastAsia="宋体" w:cs="宋体"/>
          <w:sz w:val="24"/>
          <w:szCs w:val="24"/>
        </w:rPr>
        <w:t>.0000分</w:t>
      </w:r>
    </w:p>
    <w:tbl>
      <w:tblPr>
        <w:tblStyle w:val="8"/>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46"/>
        <w:gridCol w:w="1615"/>
        <w:gridCol w:w="9902"/>
      </w:tblGrid>
      <w:tr w14:paraId="282D4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4" w:type="pct"/>
          </w:tcPr>
          <w:p w14:paraId="6ECB2513">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570" w:type="pct"/>
          </w:tcPr>
          <w:p w14:paraId="3E1CE71F">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3495" w:type="pct"/>
          </w:tcPr>
          <w:p w14:paraId="46DB830A">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描述</w:t>
            </w:r>
          </w:p>
        </w:tc>
      </w:tr>
      <w:tr w14:paraId="2393E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4" w:type="pct"/>
          </w:tcPr>
          <w:p w14:paraId="559A8C70">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技术参数响应情况</w:t>
            </w:r>
          </w:p>
        </w:tc>
        <w:tc>
          <w:tcPr>
            <w:tcW w:w="570" w:type="pct"/>
          </w:tcPr>
          <w:p w14:paraId="046D075A">
            <w:pPr>
              <w:pStyle w:val="20"/>
              <w:spacing w:line="360" w:lineRule="auto"/>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66</w:t>
            </w:r>
          </w:p>
        </w:tc>
        <w:tc>
          <w:tcPr>
            <w:tcW w:w="3495" w:type="pct"/>
          </w:tcPr>
          <w:p w14:paraId="0A5FCFB4">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highlight w:val="none"/>
              </w:rPr>
              <w:t>投标人所投产品及要求完全符合第五章 二 所有要求的得满分，</w:t>
            </w:r>
            <w:r>
              <w:rPr>
                <w:rFonts w:hint="eastAsia" w:ascii="宋体" w:hAnsi="宋体" w:eastAsia="宋体" w:cs="宋体"/>
                <w:color w:val="FF0000"/>
                <w:sz w:val="24"/>
                <w:szCs w:val="24"/>
                <w:highlight w:val="none"/>
              </w:rPr>
              <w:t>其中标“★”的任一项负偏离，为无效投标。标注“▲”(共</w:t>
            </w:r>
            <w:r>
              <w:rPr>
                <w:rFonts w:hint="eastAsia" w:ascii="宋体" w:hAnsi="宋体" w:eastAsia="宋体" w:cs="宋体"/>
                <w:color w:val="FF0000"/>
                <w:sz w:val="24"/>
                <w:szCs w:val="24"/>
                <w:highlight w:val="none"/>
                <w:lang w:val="en-US" w:eastAsia="zh-CN"/>
              </w:rPr>
              <w:t>30</w:t>
            </w:r>
            <w:r>
              <w:rPr>
                <w:rFonts w:hint="eastAsia" w:ascii="宋体" w:hAnsi="宋体" w:eastAsia="宋体" w:cs="宋体"/>
                <w:color w:val="FF0000"/>
                <w:sz w:val="24"/>
                <w:szCs w:val="24"/>
                <w:highlight w:val="none"/>
              </w:rPr>
              <w:t>项)的参数，每负偏离一项扣</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分（共</w:t>
            </w:r>
            <w:r>
              <w:rPr>
                <w:rFonts w:hint="eastAsia" w:ascii="宋体" w:hAnsi="宋体" w:eastAsia="宋体" w:cs="宋体"/>
                <w:color w:val="FF0000"/>
                <w:sz w:val="24"/>
                <w:szCs w:val="24"/>
                <w:highlight w:val="yellow"/>
                <w:lang w:val="en-US" w:eastAsia="zh-CN"/>
              </w:rPr>
              <w:t>60</w:t>
            </w:r>
            <w:r>
              <w:rPr>
                <w:rFonts w:hint="eastAsia" w:ascii="宋体" w:hAnsi="宋体" w:eastAsia="宋体" w:cs="宋体"/>
                <w:color w:val="FF0000"/>
                <w:sz w:val="24"/>
                <w:szCs w:val="24"/>
                <w:highlight w:val="none"/>
              </w:rPr>
              <w:t>分）；</w:t>
            </w:r>
            <w:r>
              <w:rPr>
                <w:rFonts w:hint="eastAsia" w:ascii="宋体" w:hAnsi="宋体" w:eastAsia="宋体" w:cs="宋体"/>
                <w:b w:val="0"/>
                <w:bCs w:val="0"/>
                <w:color w:val="FF0000"/>
                <w:sz w:val="24"/>
                <w:szCs w:val="24"/>
                <w:highlight w:val="none"/>
                <w:lang w:eastAsia="zh-CN"/>
              </w:rPr>
              <w:t>评审项</w:t>
            </w:r>
            <w:r>
              <w:rPr>
                <w:rFonts w:hint="eastAsia" w:ascii="宋体" w:hAnsi="宋体" w:eastAsia="宋体" w:cs="宋体"/>
                <w:b w:val="0"/>
                <w:bCs w:val="0"/>
                <w:color w:val="FF0000"/>
                <w:sz w:val="24"/>
                <w:szCs w:val="24"/>
                <w:highlight w:val="none"/>
                <w:lang w:val="en-US" w:eastAsia="zh-CN"/>
              </w:rPr>
              <w:t>1-评审项6，每</w:t>
            </w:r>
            <w:r>
              <w:rPr>
                <w:rFonts w:hint="eastAsia" w:ascii="宋体" w:hAnsi="宋体" w:eastAsia="宋体" w:cs="宋体"/>
                <w:color w:val="FF0000"/>
                <w:sz w:val="24"/>
                <w:szCs w:val="24"/>
                <w:highlight w:val="none"/>
              </w:rPr>
              <w:t>负偏离</w:t>
            </w:r>
            <w:r>
              <w:rPr>
                <w:rFonts w:hint="eastAsia" w:ascii="宋体" w:hAnsi="宋体" w:eastAsia="宋体" w:cs="宋体"/>
                <w:color w:val="FF0000"/>
                <w:sz w:val="24"/>
                <w:szCs w:val="24"/>
                <w:highlight w:val="none"/>
                <w:lang w:val="en-US" w:eastAsia="zh-CN"/>
              </w:rPr>
              <w:t>一项</w:t>
            </w:r>
            <w:r>
              <w:rPr>
                <w:rFonts w:hint="eastAsia" w:ascii="宋体" w:hAnsi="宋体" w:eastAsia="宋体" w:cs="宋体"/>
                <w:color w:val="FF0000"/>
                <w:sz w:val="24"/>
                <w:szCs w:val="24"/>
                <w:highlight w:val="none"/>
              </w:rPr>
              <w:t>扣</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rPr>
              <w:t>分</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共6分</w:t>
            </w:r>
            <w:r>
              <w:rPr>
                <w:rFonts w:hint="eastAsia" w:ascii="宋体" w:hAnsi="宋体" w:eastAsia="宋体" w:cs="宋体"/>
                <w:color w:val="FF0000"/>
                <w:sz w:val="24"/>
                <w:szCs w:val="24"/>
                <w:highlight w:val="none"/>
                <w:lang w:eastAsia="zh-CN"/>
              </w:rPr>
              <w:t>）；</w:t>
            </w:r>
            <w:r>
              <w:rPr>
                <w:rFonts w:hint="eastAsia" w:ascii="宋体" w:hAnsi="宋体" w:eastAsia="宋体" w:cs="宋体"/>
                <w:sz w:val="24"/>
                <w:szCs w:val="24"/>
                <w:highlight w:val="none"/>
                <w:lang w:eastAsia="zh-CN"/>
              </w:rPr>
              <w:t>（除带“</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”的外）。</w:t>
            </w:r>
          </w:p>
        </w:tc>
      </w:tr>
      <w:tr w14:paraId="469BE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4" w:type="pct"/>
          </w:tcPr>
          <w:p w14:paraId="36785C09">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技术及实施方案完整性</w:t>
            </w:r>
          </w:p>
        </w:tc>
        <w:tc>
          <w:tcPr>
            <w:tcW w:w="570" w:type="pct"/>
          </w:tcPr>
          <w:p w14:paraId="743AAAE8">
            <w:pPr>
              <w:pStyle w:val="20"/>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495" w:type="pct"/>
          </w:tcPr>
          <w:p w14:paraId="1A16C114">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根据投标人针对本项目提供项目技术及实施要求的情况进行评议，方案全面、完整、有效、实施细节详细的得</w:t>
            </w: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rPr>
              <w:t>分，存在细微缺陷的得</w:t>
            </w:r>
            <w:r>
              <w:rPr>
                <w:rFonts w:hint="eastAsia" w:ascii="宋体" w:hAnsi="宋体" w:eastAsia="宋体" w:cs="宋体"/>
                <w:color w:val="FF0000"/>
                <w:sz w:val="24"/>
                <w:szCs w:val="24"/>
                <w:lang w:val="en-US" w:eastAsia="zh-CN"/>
              </w:rPr>
              <w:t>1.5</w:t>
            </w:r>
            <w:r>
              <w:rPr>
                <w:rFonts w:hint="eastAsia" w:ascii="宋体" w:hAnsi="宋体" w:eastAsia="宋体" w:cs="宋体"/>
                <w:color w:val="FF0000"/>
                <w:sz w:val="24"/>
                <w:szCs w:val="24"/>
              </w:rPr>
              <w:t>分，存在较多缺陷的得</w:t>
            </w:r>
            <w:r>
              <w:rPr>
                <w:rFonts w:hint="eastAsia" w:ascii="宋体" w:hAnsi="宋体" w:eastAsia="宋体" w:cs="宋体"/>
                <w:color w:val="FF0000"/>
                <w:sz w:val="24"/>
                <w:szCs w:val="24"/>
                <w:lang w:val="en-US" w:eastAsia="zh-CN"/>
              </w:rPr>
              <w:t>1</w:t>
            </w:r>
            <w:r>
              <w:rPr>
                <w:rFonts w:hint="eastAsia" w:ascii="宋体" w:hAnsi="宋体" w:eastAsia="宋体" w:cs="宋体"/>
                <w:color w:val="FF0000"/>
                <w:sz w:val="24"/>
                <w:szCs w:val="24"/>
              </w:rPr>
              <w:t>分，</w:t>
            </w:r>
            <w:r>
              <w:rPr>
                <w:rFonts w:hint="eastAsia" w:ascii="宋体" w:hAnsi="宋体" w:eastAsia="宋体" w:cs="宋体"/>
                <w:color w:val="FF0000"/>
                <w:sz w:val="24"/>
                <w:szCs w:val="24"/>
                <w:lang w:eastAsia="zh-CN"/>
              </w:rPr>
              <w:t>未提供</w:t>
            </w:r>
            <w:r>
              <w:rPr>
                <w:rFonts w:hint="eastAsia" w:ascii="宋体" w:hAnsi="宋体" w:eastAsia="宋体" w:cs="宋体"/>
                <w:color w:val="FF0000"/>
                <w:sz w:val="24"/>
                <w:szCs w:val="24"/>
              </w:rPr>
              <w:t>不得分。</w:t>
            </w:r>
          </w:p>
        </w:tc>
      </w:tr>
      <w:tr w14:paraId="69380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34" w:type="pct"/>
          </w:tcPr>
          <w:p w14:paraId="35658A08">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应急预案</w:t>
            </w:r>
          </w:p>
        </w:tc>
        <w:tc>
          <w:tcPr>
            <w:tcW w:w="570" w:type="pct"/>
          </w:tcPr>
          <w:p w14:paraId="270249B4">
            <w:pPr>
              <w:pStyle w:val="20"/>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495" w:type="pct"/>
          </w:tcPr>
          <w:p w14:paraId="77B89BBA">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根据投标人制定的突发事件处理方案进行评议，方案完善全面、突发事件的响应时间及时，处理方案和应对措施合理、可行、人员配置</w:t>
            </w:r>
            <w:r>
              <w:rPr>
                <w:rFonts w:hint="eastAsia" w:ascii="宋体" w:hAnsi="宋体" w:eastAsia="宋体" w:cs="宋体"/>
                <w:color w:val="FF0000"/>
                <w:sz w:val="24"/>
                <w:szCs w:val="24"/>
              </w:rPr>
              <w:t>合理的得</w:t>
            </w: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rPr>
              <w:t>分，存在细微缺陷的得</w:t>
            </w:r>
            <w:r>
              <w:rPr>
                <w:rFonts w:hint="eastAsia" w:ascii="宋体" w:hAnsi="宋体" w:eastAsia="宋体" w:cs="宋体"/>
                <w:color w:val="FF0000"/>
                <w:sz w:val="24"/>
                <w:szCs w:val="24"/>
                <w:lang w:val="en-US" w:eastAsia="zh-CN"/>
              </w:rPr>
              <w:t>1.5</w:t>
            </w:r>
            <w:r>
              <w:rPr>
                <w:rFonts w:hint="eastAsia" w:ascii="宋体" w:hAnsi="宋体" w:eastAsia="宋体" w:cs="宋体"/>
                <w:color w:val="FF0000"/>
                <w:sz w:val="24"/>
                <w:szCs w:val="24"/>
              </w:rPr>
              <w:t>分，存在较多缺陷的得</w:t>
            </w:r>
            <w:r>
              <w:rPr>
                <w:rFonts w:hint="eastAsia" w:ascii="宋体" w:hAnsi="宋体" w:eastAsia="宋体" w:cs="宋体"/>
                <w:color w:val="FF0000"/>
                <w:sz w:val="24"/>
                <w:szCs w:val="24"/>
                <w:lang w:val="en-US" w:eastAsia="zh-CN"/>
              </w:rPr>
              <w:t>1</w:t>
            </w:r>
            <w:r>
              <w:rPr>
                <w:rFonts w:hint="eastAsia" w:ascii="宋体" w:hAnsi="宋体" w:eastAsia="宋体" w:cs="宋体"/>
                <w:color w:val="FF0000"/>
                <w:sz w:val="24"/>
                <w:szCs w:val="24"/>
              </w:rPr>
              <w:t>分，</w:t>
            </w:r>
            <w:r>
              <w:rPr>
                <w:rFonts w:hint="eastAsia" w:ascii="宋体" w:hAnsi="宋体" w:eastAsia="宋体" w:cs="宋体"/>
                <w:color w:val="FF0000"/>
                <w:sz w:val="24"/>
                <w:szCs w:val="24"/>
                <w:lang w:eastAsia="zh-CN"/>
              </w:rPr>
              <w:t>未提供</w:t>
            </w:r>
            <w:r>
              <w:rPr>
                <w:rFonts w:hint="eastAsia" w:ascii="宋体" w:hAnsi="宋体" w:eastAsia="宋体" w:cs="宋体"/>
                <w:color w:val="FF0000"/>
                <w:sz w:val="24"/>
                <w:szCs w:val="24"/>
              </w:rPr>
              <w:t>不得分。</w:t>
            </w:r>
          </w:p>
        </w:tc>
      </w:tr>
      <w:tr w14:paraId="12A9B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4" w:type="pct"/>
          </w:tcPr>
          <w:p w14:paraId="4D90C4BB">
            <w:pPr>
              <w:pStyle w:val="2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对接方案</w:t>
            </w:r>
          </w:p>
        </w:tc>
        <w:tc>
          <w:tcPr>
            <w:tcW w:w="570" w:type="pct"/>
          </w:tcPr>
          <w:p w14:paraId="2F34E5E7">
            <w:pPr>
              <w:pStyle w:val="20"/>
              <w:spacing w:line="360" w:lineRule="auto"/>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495" w:type="pct"/>
          </w:tcPr>
          <w:p w14:paraId="0E8960D5">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系统须与市级应急信息发布部门进行对接，投标人根据采购人需求，提供与上述平台对接方案（包括对接流程、安全设计方案等）进行评分：方案包含上述要点，无缺漏项、内容与要点相符、内容完善且能够适用于本项目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color w:val="FF0000"/>
                <w:sz w:val="24"/>
                <w:szCs w:val="24"/>
              </w:rPr>
              <w:t>存在细微缺陷的得</w:t>
            </w:r>
            <w:r>
              <w:rPr>
                <w:rFonts w:hint="eastAsia" w:ascii="宋体" w:hAnsi="宋体" w:eastAsia="宋体" w:cs="宋体"/>
                <w:color w:val="FF0000"/>
                <w:sz w:val="24"/>
                <w:szCs w:val="24"/>
                <w:lang w:val="en-US" w:eastAsia="zh-CN"/>
              </w:rPr>
              <w:t>1.5</w:t>
            </w:r>
            <w:r>
              <w:rPr>
                <w:rFonts w:hint="eastAsia" w:ascii="宋体" w:hAnsi="宋体" w:eastAsia="宋体" w:cs="宋体"/>
                <w:color w:val="FF0000"/>
                <w:sz w:val="24"/>
                <w:szCs w:val="24"/>
              </w:rPr>
              <w:t>分，存在较多缺陷的得</w:t>
            </w:r>
            <w:r>
              <w:rPr>
                <w:rFonts w:hint="eastAsia" w:ascii="宋体" w:hAnsi="宋体" w:eastAsia="宋体" w:cs="宋体"/>
                <w:color w:val="FF0000"/>
                <w:sz w:val="24"/>
                <w:szCs w:val="24"/>
                <w:lang w:val="en-US" w:eastAsia="zh-CN"/>
              </w:rPr>
              <w:t>1</w:t>
            </w:r>
            <w:r>
              <w:rPr>
                <w:rFonts w:hint="eastAsia" w:ascii="宋体" w:hAnsi="宋体" w:eastAsia="宋体" w:cs="宋体"/>
                <w:color w:val="FF0000"/>
                <w:sz w:val="24"/>
                <w:szCs w:val="24"/>
              </w:rPr>
              <w:t>分，</w:t>
            </w:r>
            <w:r>
              <w:rPr>
                <w:rFonts w:hint="eastAsia" w:ascii="宋体" w:hAnsi="宋体" w:eastAsia="宋体" w:cs="宋体"/>
                <w:color w:val="FF0000"/>
                <w:sz w:val="24"/>
                <w:szCs w:val="24"/>
                <w:lang w:eastAsia="zh-CN"/>
              </w:rPr>
              <w:t>未提供</w:t>
            </w:r>
            <w:r>
              <w:rPr>
                <w:rFonts w:hint="eastAsia" w:ascii="宋体" w:hAnsi="宋体" w:eastAsia="宋体" w:cs="宋体"/>
                <w:color w:val="FF0000"/>
                <w:sz w:val="24"/>
                <w:szCs w:val="24"/>
              </w:rPr>
              <w:t>不得分。</w:t>
            </w:r>
          </w:p>
        </w:tc>
      </w:tr>
    </w:tbl>
    <w:p w14:paraId="09615922">
      <w:pPr>
        <w:pStyle w:val="20"/>
        <w:spacing w:line="360" w:lineRule="auto"/>
        <w:jc w:val="both"/>
        <w:rPr>
          <w:rFonts w:hint="eastAsia" w:ascii="宋体" w:hAnsi="宋体" w:eastAsia="宋体" w:cs="宋体"/>
          <w:sz w:val="24"/>
          <w:szCs w:val="24"/>
        </w:rPr>
      </w:pPr>
      <w:r>
        <w:rPr>
          <w:rFonts w:hint="eastAsia" w:ascii="宋体" w:hAnsi="宋体" w:eastAsia="宋体" w:cs="宋体"/>
          <w:sz w:val="24"/>
          <w:szCs w:val="24"/>
        </w:rPr>
        <w:t>商务项（F3×A3）满分为</w:t>
      </w:r>
      <w:r>
        <w:rPr>
          <w:rFonts w:hint="eastAsia" w:ascii="宋体" w:hAnsi="宋体" w:eastAsia="宋体" w:cs="宋体"/>
          <w:sz w:val="24"/>
          <w:szCs w:val="24"/>
          <w:lang w:val="en-US" w:eastAsia="zh-CN"/>
        </w:rPr>
        <w:t>15</w:t>
      </w:r>
      <w:r>
        <w:rPr>
          <w:rFonts w:hint="eastAsia" w:ascii="宋体" w:hAnsi="宋体" w:eastAsia="宋体" w:cs="宋体"/>
          <w:sz w:val="24"/>
          <w:szCs w:val="24"/>
        </w:rPr>
        <w:t>.0000分</w:t>
      </w:r>
    </w:p>
    <w:tbl>
      <w:tblPr>
        <w:tblStyle w:val="8"/>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58"/>
        <w:gridCol w:w="1689"/>
        <w:gridCol w:w="9916"/>
      </w:tblGrid>
      <w:tr w14:paraId="09B74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pct"/>
          </w:tcPr>
          <w:p w14:paraId="112B2592">
            <w:pPr>
              <w:pStyle w:val="2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项目</w:t>
            </w:r>
          </w:p>
        </w:tc>
        <w:tc>
          <w:tcPr>
            <w:tcW w:w="596" w:type="pct"/>
          </w:tcPr>
          <w:p w14:paraId="3F728850">
            <w:pPr>
              <w:pStyle w:val="2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分值</w:t>
            </w:r>
          </w:p>
        </w:tc>
        <w:tc>
          <w:tcPr>
            <w:tcW w:w="3500" w:type="pct"/>
          </w:tcPr>
          <w:p w14:paraId="1338D611">
            <w:pPr>
              <w:pStyle w:val="2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描述</w:t>
            </w:r>
          </w:p>
        </w:tc>
      </w:tr>
      <w:tr w14:paraId="012B9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pct"/>
          </w:tcPr>
          <w:p w14:paraId="59A8AE27">
            <w:pPr>
              <w:pStyle w:val="2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投标人实力1</w:t>
            </w:r>
          </w:p>
        </w:tc>
        <w:tc>
          <w:tcPr>
            <w:tcW w:w="596" w:type="pct"/>
          </w:tcPr>
          <w:p w14:paraId="6E17C429">
            <w:pPr>
              <w:pStyle w:val="20"/>
              <w:spacing w:line="360" w:lineRule="auto"/>
              <w:jc w:val="righ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3500" w:type="pct"/>
          </w:tcPr>
          <w:p w14:paraId="0040061E">
            <w:pPr>
              <w:pStyle w:val="2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其总公司</w:t>
            </w:r>
            <w:r>
              <w:rPr>
                <w:rFonts w:hint="eastAsia" w:ascii="宋体" w:hAnsi="宋体" w:eastAsia="宋体" w:cs="宋体"/>
                <w:color w:val="000000" w:themeColor="text1"/>
                <w:sz w:val="24"/>
                <w:szCs w:val="24"/>
                <w:highlight w:val="none"/>
                <w14:textFill>
                  <w14:solidFill>
                    <w14:schemeClr w14:val="tx1"/>
                  </w14:solidFill>
                </w14:textFill>
              </w:rPr>
              <w:t>）具有环境管理体系认证、信息技术服务管理体系认证、信息安全管理体系认证、业务连续性管理体系认证，每提供一个得1分，满分4分。【注：须提供有效的认证证书复印件及该证书在平台（http://cx.cnca.cn）上证书状态为“有效”的查询结果网页或截图打印件，否则不得分】</w:t>
            </w:r>
          </w:p>
        </w:tc>
      </w:tr>
      <w:tr w14:paraId="6C5CA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pct"/>
          </w:tcPr>
          <w:p w14:paraId="64EE31DD">
            <w:pPr>
              <w:pStyle w:val="2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投标人实力2</w:t>
            </w:r>
          </w:p>
        </w:tc>
        <w:tc>
          <w:tcPr>
            <w:tcW w:w="596" w:type="pct"/>
          </w:tcPr>
          <w:p w14:paraId="6CA2BD62">
            <w:pPr>
              <w:pStyle w:val="20"/>
              <w:spacing w:line="360" w:lineRule="auto"/>
              <w:jc w:val="righ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3500" w:type="pct"/>
          </w:tcPr>
          <w:p w14:paraId="06EB4E77">
            <w:pPr>
              <w:pStyle w:val="2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其总公司</w:t>
            </w:r>
            <w:r>
              <w:rPr>
                <w:rFonts w:hint="eastAsia" w:ascii="宋体" w:hAnsi="宋体" w:eastAsia="宋体" w:cs="宋体"/>
                <w:color w:val="000000" w:themeColor="text1"/>
                <w:sz w:val="24"/>
                <w:szCs w:val="24"/>
                <w:highlight w:val="none"/>
                <w14:textFill>
                  <w14:solidFill>
                    <w14:schemeClr w14:val="tx1"/>
                  </w14:solidFill>
                </w14:textFill>
              </w:rPr>
              <w:t>）具有履约能力评价体系五星级以上（含）认证证书、商品售后服务五星级以上（含）认证证书，每提供一项得1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分。【注：须提供有效证书复印件，否则不得分】</w:t>
            </w:r>
          </w:p>
        </w:tc>
      </w:tr>
      <w:tr w14:paraId="05CD0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pct"/>
          </w:tcPr>
          <w:p w14:paraId="6578A1DD">
            <w:pPr>
              <w:pStyle w:val="20"/>
              <w:spacing w:line="360"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许可证</w:t>
            </w:r>
          </w:p>
        </w:tc>
        <w:tc>
          <w:tcPr>
            <w:tcW w:w="596" w:type="pct"/>
          </w:tcPr>
          <w:p w14:paraId="34EC5E04">
            <w:pPr>
              <w:pStyle w:val="20"/>
              <w:spacing w:line="360" w:lineRule="auto"/>
              <w:jc w:val="righ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3500" w:type="pct"/>
          </w:tcPr>
          <w:p w14:paraId="4A01BC27">
            <w:pPr>
              <w:pStyle w:val="20"/>
              <w:spacing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其总公司</w:t>
            </w:r>
            <w:r>
              <w:rPr>
                <w:rFonts w:hint="eastAsia" w:ascii="宋体" w:hAnsi="宋体" w:eastAsia="宋体" w:cs="宋体"/>
                <w:color w:val="000000" w:themeColor="text1"/>
                <w:sz w:val="24"/>
                <w:szCs w:val="24"/>
                <w:highlight w:val="none"/>
                <w14:textFill>
                  <w14:solidFill>
                    <w14:schemeClr w14:val="tx1"/>
                  </w14:solidFill>
                </w14:textFill>
              </w:rPr>
              <w:t>）具有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广播电视主管部门颁发的广播电视节目传送业务经营许可证得3分，需提供有效证书复印件，否则不得分。</w:t>
            </w:r>
          </w:p>
        </w:tc>
      </w:tr>
      <w:tr w14:paraId="7BB3A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pct"/>
          </w:tcPr>
          <w:p w14:paraId="4CC81BCA">
            <w:pPr>
              <w:pStyle w:val="2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售后方案</w:t>
            </w:r>
          </w:p>
        </w:tc>
        <w:tc>
          <w:tcPr>
            <w:tcW w:w="596" w:type="pct"/>
          </w:tcPr>
          <w:p w14:paraId="66BA9D75">
            <w:pPr>
              <w:pStyle w:val="20"/>
              <w:spacing w:line="360" w:lineRule="auto"/>
              <w:jc w:val="righ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3500" w:type="pct"/>
          </w:tcPr>
          <w:p w14:paraId="363DAC65">
            <w:pPr>
              <w:pStyle w:val="2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投标人提供免费质保期内的售后服务承诺（故障响应时间、回访巡检方案、故障解决方案等），并提供详细的售后服务方案（包括客服电话、升级服务、现场服务和售后服务机构详细说明）进行评分：方案包含上述要点，无缺漏项、内容与要点相符、内容完善且能够适用于本项目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分；存在缺陷的得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分，未提供不得分。</w:t>
            </w:r>
          </w:p>
        </w:tc>
      </w:tr>
      <w:tr w14:paraId="42F06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pct"/>
          </w:tcPr>
          <w:p w14:paraId="2C0A1419">
            <w:pPr>
              <w:pStyle w:val="20"/>
              <w:spacing w:line="36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实力</w:t>
            </w:r>
          </w:p>
        </w:tc>
        <w:tc>
          <w:tcPr>
            <w:tcW w:w="596" w:type="pct"/>
          </w:tcPr>
          <w:p w14:paraId="490418DD">
            <w:pPr>
              <w:pStyle w:val="20"/>
              <w:spacing w:line="360" w:lineRule="auto"/>
              <w:jc w:val="righ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3500" w:type="pct"/>
          </w:tcPr>
          <w:p w14:paraId="009FB404">
            <w:pPr>
              <w:pStyle w:val="2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投标人或所投</w:t>
            </w:r>
            <w:r>
              <w:rPr>
                <w:rFonts w:hint="eastAsia" w:ascii="宋体" w:hAnsi="宋体" w:eastAsia="宋体" w:cs="宋体"/>
                <w:color w:val="000000" w:themeColor="text1"/>
                <w:sz w:val="24"/>
                <w:szCs w:val="24"/>
                <w:highlight w:val="none"/>
                <w:lang w:val="en-US" w:eastAsia="zh-CN"/>
                <w14:textFill>
                  <w14:solidFill>
                    <w14:schemeClr w14:val="tx1"/>
                  </w14:solidFill>
                </w14:textFill>
              </w:rPr>
              <w:t>应急广播产品生产厂家具备应急广播（CEB）服务认证证书（研发）证书和</w:t>
            </w:r>
          </w:p>
          <w:p w14:paraId="51AD1FB3">
            <w:pPr>
              <w:pStyle w:val="2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应急广播（CEB）服务认证证书（生产）证书的得1分</w:t>
            </w:r>
            <w:r>
              <w:rPr>
                <w:rFonts w:hint="eastAsia" w:ascii="宋体" w:hAnsi="宋体" w:eastAsia="宋体" w:cs="宋体"/>
                <w:color w:val="000000" w:themeColor="text1"/>
                <w:sz w:val="24"/>
                <w:szCs w:val="24"/>
                <w:highlight w:val="none"/>
                <w14:textFill>
                  <w14:solidFill>
                    <w14:schemeClr w14:val="tx1"/>
                  </w14:solidFill>
                </w14:textFill>
              </w:rPr>
              <w:t>（须提供相关证明材料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不提供不得分）。</w:t>
            </w:r>
          </w:p>
        </w:tc>
      </w:tr>
      <w:tr w14:paraId="35FDF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pct"/>
          </w:tcPr>
          <w:p w14:paraId="1EFE8E9B">
            <w:pPr>
              <w:pStyle w:val="2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p>
        </w:tc>
        <w:tc>
          <w:tcPr>
            <w:tcW w:w="596" w:type="pct"/>
          </w:tcPr>
          <w:p w14:paraId="68E6B3C2">
            <w:pPr>
              <w:pStyle w:val="20"/>
              <w:spacing w:line="360" w:lineRule="auto"/>
              <w:jc w:val="righ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3500" w:type="pct"/>
          </w:tcPr>
          <w:p w14:paraId="297456A9">
            <w:pPr>
              <w:pStyle w:val="20"/>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投标人（或</w:t>
            </w:r>
            <w:r>
              <w:rPr>
                <w:rFonts w:hint="eastAsia" w:ascii="宋体" w:hAnsi="宋体" w:eastAsia="宋体" w:cs="宋体"/>
                <w:color w:val="000000" w:themeColor="text1"/>
                <w:sz w:val="24"/>
                <w:szCs w:val="24"/>
                <w:highlight w:val="none"/>
                <w:lang w:val="en-US" w:eastAsia="zh-CN"/>
                <w14:textFill>
                  <w14:solidFill>
                    <w14:schemeClr w14:val="tx1"/>
                  </w14:solidFill>
                </w14:textFill>
              </w:rPr>
              <w:t>其总公司及其分支机构）</w:t>
            </w:r>
            <w:r>
              <w:rPr>
                <w:rFonts w:hint="eastAsia" w:ascii="宋体" w:hAnsi="宋体" w:eastAsia="宋体" w:cs="宋体"/>
                <w:sz w:val="24"/>
                <w:szCs w:val="24"/>
              </w:rPr>
              <w:t>自2023年1月1日以来（日期以中标通知书为准）独立完成的本项目同类项目业绩，每提供一份有效业绩证明材料的得1分，满分</w:t>
            </w:r>
            <w:r>
              <w:rPr>
                <w:rFonts w:hint="eastAsia" w:ascii="宋体" w:hAnsi="宋体" w:eastAsia="宋体" w:cs="宋体"/>
                <w:sz w:val="24"/>
                <w:szCs w:val="24"/>
                <w:lang w:val="en-US" w:eastAsia="zh-CN"/>
              </w:rPr>
              <w:t>3</w:t>
            </w:r>
            <w:r>
              <w:rPr>
                <w:rFonts w:hint="eastAsia" w:ascii="宋体" w:hAnsi="宋体" w:eastAsia="宋体" w:cs="宋体"/>
                <w:sz w:val="24"/>
                <w:szCs w:val="24"/>
              </w:rPr>
              <w:t>分。【注：每个业绩须提供项目中标公告（提供相关网站中标公告的下载网页并注明网址）、中标或成交通知书复印件、采购合同文本复印件以及能够证明该业绩项目已经采购人验收合格的相关证明文件复印件，否则不得分】</w:t>
            </w:r>
          </w:p>
        </w:tc>
      </w:tr>
    </w:tbl>
    <w:p w14:paraId="5FD74E38">
      <w:pPr>
        <w:pStyle w:val="20"/>
        <w:numPr>
          <w:ilvl w:val="0"/>
          <w:numId w:val="2"/>
        </w:numPr>
        <w:spacing w:line="360" w:lineRule="auto"/>
        <w:jc w:val="both"/>
        <w:outlineLvl w:val="2"/>
        <w:rPr>
          <w:rFonts w:hint="eastAsia" w:ascii="宋体" w:hAnsi="宋体" w:eastAsia="宋体" w:cs="宋体"/>
          <w:b/>
          <w:sz w:val="24"/>
          <w:szCs w:val="24"/>
        </w:rPr>
      </w:pPr>
      <w:r>
        <w:rPr>
          <w:rFonts w:hint="eastAsia" w:ascii="宋体" w:hAnsi="宋体" w:eastAsia="宋体" w:cs="宋体"/>
          <w:b/>
          <w:sz w:val="24"/>
          <w:szCs w:val="24"/>
        </w:rPr>
        <w:t>技术和服务要求（以“★”标示的内容为不允许负偏离的实质性要求）</w:t>
      </w:r>
    </w:p>
    <w:tbl>
      <w:tblPr>
        <w:tblStyle w:val="8"/>
        <w:tblW w:w="14084"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2700"/>
        <w:gridCol w:w="7928"/>
        <w:gridCol w:w="1286"/>
        <w:gridCol w:w="1440"/>
      </w:tblGrid>
      <w:tr w14:paraId="2BFA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006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永定区级应急广播体系建设项目设备预算清单及技术参数</w:t>
            </w:r>
          </w:p>
        </w:tc>
      </w:tr>
      <w:tr w14:paraId="2C33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DB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89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8FF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BC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D1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553C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6A6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评审项1：应急广播接入平台软硬件</w:t>
            </w:r>
          </w:p>
        </w:tc>
      </w:tr>
      <w:tr w14:paraId="2EAD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C9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3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12FA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县级平台软件</w:t>
            </w:r>
          </w:p>
        </w:tc>
      </w:tr>
      <w:tr w14:paraId="3D97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C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B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制作播发系统</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B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1.具备区（县）级应急信息源的应急信息、上级应急广播平台的应急广播消息的接入、验证和播发状态反馈等功能；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2.对于系统接收的信息，可显示来源IP地址、来源单位、接收时间、指令类型、数据包大小等内容；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3.具备对接入的应急信息和应急广播消息依据标准数据协议规范进行信息解析和存储功能；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4.具备通过系统界面告警功能；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5.具备自动语音或人工读稿生成应急广播音频的功能；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6.具备根据播发需求、播发策略生成应急广播消息的功能；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7.具备应急广播消息审核功能，对制作完成的应急广播节目进行审核。</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77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C3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DA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3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C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调度控制系统</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0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1.具备管理区级应急广播系统资源的功能，主要包括有线数字电视、地面数字电视、调频广播、应急广播大喇叭系统区/镇/村前端、 机动应急广播系统、应急广播适配器和应急广播终端（多模音柱或多模收扩机）信息；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2.具备资源信息同步功能和资源状态信息收集功能，可监管区县级应急广播资源的状态信息；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3.具备资源类型及资源编码设置功能；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4.具备调度预案管理功能；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5.具备监控应急广播消息传输状态功能；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应急广播消息播发控制功能，通过光缆或微波等传输通道将应急广播消息发送到对应的广播电视台频率频道播出系统、应急广播传输覆盖网、大喇叭系统区县级前端的应急广播适配器，并接收应急广播适配器的接收处理反馈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7.具备多种节目内容进行广播，包括音频、视频、文字、图片、网络电台（音频流）、模拟音频。</w:t>
            </w: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DCFC">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380C">
            <w:pPr>
              <w:jc w:val="center"/>
              <w:rPr>
                <w:rFonts w:hint="eastAsia" w:ascii="宋体" w:hAnsi="宋体" w:eastAsia="宋体" w:cs="宋体"/>
                <w:i w:val="0"/>
                <w:iCs w:val="0"/>
                <w:color w:val="000000"/>
                <w:sz w:val="20"/>
                <w:szCs w:val="20"/>
                <w:u w:val="none"/>
              </w:rPr>
            </w:pPr>
          </w:p>
        </w:tc>
      </w:tr>
      <w:tr w14:paraId="0300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D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0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基础服务</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2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1.具备应急广播消息播发过程和播发结果监测功能，及时向区县级应急信息源及上级应急广播平台反馈播发结果；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2.具备实际播发效果数据收集分析功能；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3.具备对原始应急信息、应急广播消息等内容的检索与查询；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4.具备数据通讯接口，向本级应急广播效果监测评估系统提供应急播发效果评估数据；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5.具备对于每一条接入的预警信息，可查看预警信息内容（包括基本内容、覆盖区域、广播内容）；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6.采用数字签名和数字证书技术，构建系统的安全认证体系，对接入的应急信息和应急广播消息进行安全校验，对播发的应急广播消息进行签名保护；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7.区县级应急广播平台播发记录综合管理功能；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8.演练计划制定及管理功能，并根据计划执行应急演练功能；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9.系统运行参数的配置管理功能；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10.系统操作人员、角色、权限的配置管理功能；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11.系统操作日志的记录和查询功能；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12.系统数据库的定期备份、故障恢复等功能；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13.系统运行状态监控功能，对系统的关键进程、设备和网络运行状态进行实时监控，出现故障可及时报警。</w:t>
            </w: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113E">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1D0B8">
            <w:pPr>
              <w:jc w:val="center"/>
              <w:rPr>
                <w:rFonts w:hint="eastAsia" w:ascii="宋体" w:hAnsi="宋体" w:eastAsia="宋体" w:cs="宋体"/>
                <w:i w:val="0"/>
                <w:iCs w:val="0"/>
                <w:color w:val="000000"/>
                <w:sz w:val="20"/>
                <w:szCs w:val="20"/>
                <w:u w:val="none"/>
              </w:rPr>
            </w:pPr>
          </w:p>
        </w:tc>
      </w:tr>
      <w:tr w14:paraId="6FB5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B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9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大喇叭管控系统</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5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1.日常广播：具备接收、传送中央、省、地市广播节目或市本地广播节目的功能；具备日常广播节目源管理和播发管理的功能；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2.播发控制：具备通过控制大喇叭系统前端设备，向所辖区域内大喇叭终端进行广播的功能；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管理：具备各级大喇叭前端关键设备和终端的型号、编码、安装地点、工作参数等运维信息的管理功能，为了保证维护方便，支持手持终端，能够扫码安装、对设备的参数本地配置；应具备根据需要可对设备和终端的编码、频率、音量、开关等配置参数进行远程修改。应具备可对设备广播通道优先级、上下级优先级进行设置，并支持远程下发到终端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4.运维管理：支持手持终端查看设备位置，并直接导航到设备安装点进行现场维护功能。</w:t>
            </w: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ABD85">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CE799">
            <w:pPr>
              <w:jc w:val="center"/>
              <w:rPr>
                <w:rFonts w:hint="eastAsia" w:ascii="宋体" w:hAnsi="宋体" w:eastAsia="宋体" w:cs="宋体"/>
                <w:i w:val="0"/>
                <w:iCs w:val="0"/>
                <w:color w:val="000000"/>
                <w:sz w:val="20"/>
                <w:szCs w:val="20"/>
                <w:u w:val="none"/>
              </w:rPr>
            </w:pPr>
          </w:p>
        </w:tc>
      </w:tr>
      <w:tr w14:paraId="4037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FD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3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D914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支撑软件</w:t>
            </w:r>
          </w:p>
        </w:tc>
      </w:tr>
      <w:tr w14:paraId="5EB5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2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2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GIS地图系统</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6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1.GIS应用提供地图服务、空间数据访问与管理服务，提供涵盖数据加载、数据浏览，可以满足应急广播平台使用需求；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2.网格协议 TCP/IP、HTTP，WEB、XML；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3.具有良好的可伸缩性、通用性和兼容性，支持从上到下多个产品层次， 支持无缝地扩展和升级；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4.B/S 构架，支持包括缩放等功能模块、地图浏览；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5.包括标准版本地辖区离线地图，3年免费升级。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F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1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17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1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3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793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通用设备</w:t>
            </w:r>
          </w:p>
        </w:tc>
      </w:tr>
      <w:tr w14:paraId="2927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9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0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4C78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1、机架式服务器，高度≥2U，标配原厂导轨；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2、处理器配置Intel 至强可扩展系列处理器，实配数量≥2颗，单颗CPU要求≥12核，2.1GHz；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3、支持多达32个DDR4内存，速率最高支持3200MT/s，支持RDIMM或LRDIMM，单颗处理器最大容量6TB，支持多达16个英特尔®傲腾®持久内存PMem 200系列，内存实配规格≥2*16GB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4、支持多达29个2.5英寸硬盘，本次实配硬盘≥2*600G 12G SAS 10K 2.5in 512e HDD硬盘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5、▲支持可信硅根，支持固件安全校验，校验到异常时主备切换，提供招标公告发布前生效CMA及CNAS认可的第三方机构出具的测试报告证明；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6、阵列控制器配置≥1个标准PCIe槽位阵列卡，本次实配12Gb 2端口SAS RAID卡（支持8个SAS口，4G缓存），支持缓存数据保护，且后备保护时间不受限制，支持RAID0/1/10/5/6/50/60/；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7、支持SATA和PCIe M.2选件，支持双Micro SD卡套件；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8、最多提供≥13个PCIE4.0插槽；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9、网卡可支持2个 x16 OCP3.0插槽，本次实配网口≥4个千兆电接口；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10、支持多达4个双宽GPU卡或14个单宽GPU卡；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11、接口≥1个前置VGA，1个后置VGA和1个串口，6 个USB 3.0（2前置，2后置，2内置），1个前置专用管理接口；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12、支持冗余电源，配置2个≥800W白金版热插拔冗余电源，支持96%能效比的钛金级电源选件；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13、支持安全机箱，TCM/TPM安全模块，双因素认证；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14、▲支持3D温度海洋，在3D图上显示服务器的温度传感器信息和温度告警，提供招标公告发布前生效CMA及CNAS认可的第三方机构出具的测试报告证明；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15、▲支持联合管理，通过一个服务器的管理页面管理多个服务器，提供招标公告发布前生效CMA及CNAS认可的第三方机构出具的测试报告证明；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16、工作温度：支持最高5-45°C标准工作温度；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17、原厂保修三年。</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3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0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3E7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1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6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核心交换机</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5BAA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1.交换容量≥2.4Tbps，转发性能≥660Mpps；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2.模块化双电源,模块化双风扇，前/后通风，风道可调；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3.MAC地址表≥160K，路由表容量≥64K，ARP表≥32K；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4.端口数≥48个GE端口，≥4个万兆SFP+口，≥1个slot；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5.▲支持多种类型插卡（包括万兆光、25G、40G、100G等）和防火墙插卡，提供招标公告发布前生效CMA及CNAS认可的第三方机构出具的测试报告证明；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6.▲内置智能管理中心，可作为智能管理中心的管理设备，通过所投设备登录到智能管理中心网络即可对整网进行统一管理，提供招标公告发布前生效CMA及CNAS认可的第三方机构出具的测试报告证明；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7.支持二层VxLAN，支持三层VxLAN，支持EVPN；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8.支持ERPS功能：收敛时间≤50ms；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9.▲实现CPU保护功能，能限制非法报文对CPU的攻击，保护交换机在各种环境下稳定工作，提供招标公告发布前生效CMA及CNAS认可的第三方机构出具的测试报告证明；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10.▲支持Triple功能，端口同时开启802.1X，MAC认证及Portal功能，提供招标公告发布前生效CMA及CNAS认可的第三方机构出具的测试报告证明；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11.能够被公有云平台管理；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最大堆叠台数&gt;=4台；支持跨设备链路聚合，单一IP管理，分布式弹性路由；支持通过标准以太端口进行堆叠（万兆或40G均支持）；支持完善的堆叠分裂检测机制，堆叠分裂后能自动完成MAC和IP地址的重配置，无需手动干预；支持远程堆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13.支持基于端口的VLAN，支持基于协议的VLAN；支持基于MAC的VLAN；最大VLAN数(不是VLAN ID)&gt;=4094；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14.支持RRPP（快速环网保护协议），环网故障恢复时间不超过50ms；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15.▲支持Smartlink，提供招标公告发布前生效CMA及CNAS认可的第三方机构出具的测试报告证明；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16.▲支持RSTP、MSTP功能：收敛时间≤50ms，提供招标公告发布前生效CMA及CNAS认可的第三方机构出具的测试报告证明；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17.本次实配：冗余交流电源、风扇模块</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2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3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80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4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C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E6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1.交换容量≥672Gbps，转发性能≥126Mpps</w:t>
            </w:r>
          </w:p>
          <w:p w14:paraId="2F074E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2.端口数≥24个GE端口，≥4个千兆SFP口</w:t>
            </w:r>
          </w:p>
          <w:p w14:paraId="4A285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3.▲实现ERPS功能，可与其他厂商设备混组网，能够快速阻断环路，链路收敛时间≤50ms，提供招标公告发布前生效CMA及CNAS认可的第三方机构出具的测试报告证明；</w:t>
            </w:r>
          </w:p>
          <w:p w14:paraId="612775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4.▲实现CPU保护功能，能限制非法报文对CPU的攻击，保护交换机在各种环境下稳定工作，提供招标公告发布前生效CMA及CNAS认可的第三方机构出具的测试报告证明；</w:t>
            </w:r>
          </w:p>
          <w:p w14:paraId="0B15D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5.支持跨设备链路聚合，单一IP管理，分布式弹性路由，支持通过标准以太端口进行堆叠（万兆或千兆均支持）</w:t>
            </w:r>
          </w:p>
          <w:p w14:paraId="3B100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6.支持基于端口的VLAN，支持基于协议的VLAN；支持基于MAC的VLAN；最大VLAN数(不是VLAN ID)&gt;=4094</w:t>
            </w:r>
          </w:p>
          <w:p w14:paraId="35CD30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7.支持本地端口镜像和远程端口镜像RSPAN；支持流镜像；同时支持N：M的端口镜像（M大于1）</w:t>
            </w:r>
          </w:p>
          <w:p w14:paraId="4209A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8.支持IGMP v1/v2/v3，MLD v1/v2；支持PIM Snooping；支持MSDP，MSDP for IPv6；支持MBGP，MBGP for Ipv6</w:t>
            </w:r>
          </w:p>
          <w:p w14:paraId="3C199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9.支持OPENFLOW 1.3标准支持普通模式和Openflow 模式切换；</w:t>
            </w:r>
          </w:p>
          <w:p w14:paraId="12A865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10.支持IPv4静态路由、RIP V1/V2、OSPF；支持IPv6静态路由、RIPng</w:t>
            </w:r>
          </w:p>
          <w:p w14:paraId="73DD9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11.支持快速环网保护协议，环网故障恢复时间不超过50ms；支持RSTP功能：收敛时间≤50ms；支持PVST功能：收敛时间≤50ms；</w:t>
            </w:r>
          </w:p>
          <w:p w14:paraId="1EA4B6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12.支持SNMP V1/V2/V3、RMON、SSHV2；支持OAM(802.1AG， 802.3AH)以太网运行、维护和管理标准</w:t>
            </w:r>
          </w:p>
          <w:p w14:paraId="587EE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13.▲为了避免强雷雨天气，设备遭受雷击损坏。要求设备端口具备10KV抗雷击。提供官网截图及链接证明;</w:t>
            </w:r>
          </w:p>
          <w:p w14:paraId="20D2EF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14.符合IEEE 802.3az（EEE）节能标准，支持端口休眠，关闭没有应用的端口，节省能源;</w:t>
            </w:r>
          </w:p>
          <w:p w14:paraId="18B78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15.▲内置图形化智能管理中心，实现对网络的统一运维及管理，提供官网链接截图证明。</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8D0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2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D69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6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F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工作站</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7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1.CPU：配置1颗CPU，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2.7GHz，8核。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3.内存：8GB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4.硬盘：不低于256GB SATA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5.显卡：独立显卡；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6.显示器：液晶21.5英寸；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7.配置正版操作系统；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8.1个千兆网卡，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9.含USB鼠标和键盘。</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7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3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B4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8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A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液晶KVM切换器一体机</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4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1.机架式1U≥17英寸LCD显示器；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2.具备USB或PS2鼠标接口；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3.具备≥16路VGA接口；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4.分辨率：≥1280×1024，色彩显示：16.7M，亮度250（cd/㎡），对比度600:1；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5.支持多种主流操作系统；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6.带键盘、鼠标。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6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8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3B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9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D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电话短信接入网关</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9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1.支持最大16路GSM电话呼入，支持192号段卡；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2.支持短信转语音功能，支持IP音频流输出；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3.支持MPEG-1 Layer2, 音频编码；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4.支持在线修改终端播放音量；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5.支持单独每路电话可修改采样率、输出码率、声道模式等参数；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6.支持远程电话授权及具备强制挂机功能；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7.内置监听扬声器，高保真信号源监听，自动监听广播；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8.设备支持远程web参数配置；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9.支持按键操作，网络管理web网管；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10.自带液晶显示和LED指示，指示每路电话信号和工作状态；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11.采用19寸标准1U机箱；</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7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E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B5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D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1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时钟自动校准服务器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5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1、支持协议：NTPv1.v2.v3(RFC1119&amp;1305) SNTP(RFC2030)（RFC1321） NTP DHCP(RFC2131) HTTP IPV4；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2、授时性能：GPS 时钟参考模式，一级网络时间服务器，同步精度1μs；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3、用户终端同步授时精度：&lt;50ms（局域网典型值）用户容量：可支持数万台客户端；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4、NTP请求量：2000 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5、卫星捕捉性能：用户容量：可支持数万台客户端；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6、接口信息：GPS天线接口：1，AC220V电源接口：1，网口RJ45：1，复位按钮：1，恢复出厂设置按钮：1；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7、16通道授时型GPS 接收机；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8、UTC同步精度30ns（RMS），支持单星授时窗口模式接收L1,C/A码信号-1575.42MHz；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9、跟踪及锁定灵敏度可达-160dBm；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10、NTP请求量：2000次/秒。</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3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8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E2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2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5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IP复用器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A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1.4路ASI输入、4路IP输入（4路TS一个物理端口）；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2.4路ASI输出、4路IP输出（4路TS一个物理端口）；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3.IP输出数据的比特率范围:1～600Mbps；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4.支持复用后经IP、ASI接口输出；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5.UDP的载荷为7个188Bytes的TS包；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6.支持复用、PSI /SI 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7.最大复用节目数256个；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8.复用部分支持PSI /SI信息的自动生成；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9.可生成网络信息；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10.支持PID过滤, 映射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11.数据输入、输出的通道参数可以灵活配置；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12.支持UDP、ARP、ICMP、IGMP等网络协议；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13.支持HD/SD节目传输；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14.支持Web和SNMP网管，支持远程在线升级；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15.设备管理页面、相关技术资料均支持中英两种语言；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16.具有掉电记忆功能；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17.支持设备工作参数的导入、导出、备份；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18.强大的后台配置功能和网管监控系统，保证设备运行的高稳定性；</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7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3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26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D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3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IP话筒</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A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1.集接收、编码和播控管理功能于一体，集成度高；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2.触摸屏设计，操作简单，一目了然；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3.支持按优先级广播，紧急广播优先播出；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4.支持分区域广播；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5.支持设置屏幕锁定密码，保证控制系统安全；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6.内置监听扬声器，高保真信号源监听；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7.支持一键式开启应急 / 日常广播功能；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8.应急广播优先级可自定义选择（上级优先 / 下级优先）功能；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9.具有一路话筒输入，两路音频输入接口，话筒和音频音量大小可调；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10.系统逻辑码寻址操作功能；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 USB 播放功能。</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3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6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0A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8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0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监听音箱</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6F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1.支持IP、DVB-C、DTMB、FM-RDS广播信息接收；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2.支持IP数据回传；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3.可远程监控工作频率及PID等参数；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4.支持主板软件远程升级；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5.采用数字功放芯片，完善过热、过压、过流、短路保护功能；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6.待机时功放芯片进入待机模式，减小整机待机功耗；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7.正常广播和应急广播音量均可手动调整；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8.额定输出功率25W；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9.支持开关机声音淡入淡出功能；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10.防盗播，防插播，防干扰能力强；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11.可远程控制本机开关机、音量调节、频率切换等操作；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12.按物理码或逻辑码寻址执行上级下发的控制命令；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13.具有复位键恢复出厂设置的功能；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14.防雨铝合金喷塑外壳，ABS工程塑料上下底盖， 防漏电，防击穿。</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F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4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05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F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A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数字收音头</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D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1.输入方式：支持调频、中波接收方式；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2.1路音频信号左右声道（L /R）输出；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3.频响 20hz-16KHz±1；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4.高亮度动态VFD荧光显示；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5.两组接收天线输入：AM 接收天线输入；FM 接收天线 75Ω输入；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6.调频信噪比：≥45Db；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7.限噪灵敏度：FM≤20μV；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8.输出电平：500Mv；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9.输出阻抗：1K。</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2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6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3A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C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E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密码器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5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1.支持国密SM系列算法；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2.具有签名、验签功能；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3.采用的数字证书和数字签名技术符合《GD/J 081—2018 应急广播安全保护技术规范数字签名》的要求。</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9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A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5C0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4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F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1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尺寸；1000*600*2000mm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材料：1mm冷轧钢板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表面处理：喷塑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颜色：黑色</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D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3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800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6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5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播控台</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AE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双联操作台</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6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6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49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C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0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7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2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安装所需辅材，含网线、插线板、螺钉、扎线、标签纸等。</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F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7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61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DB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3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F2BC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应急广播专用设备</w:t>
            </w:r>
          </w:p>
        </w:tc>
      </w:tr>
      <w:tr w14:paraId="4868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5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E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加密机</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B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1.符合《GD/J 081—2018 应急广播安全保护技术规范 数字签名》；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2.专用硬件加密机；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3.支持国密SM系列算法；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4.对外接口采用https安全通讯协议；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5.具有签名、验签功能；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6.签名、验签处理性能&gt;1000次/秒。</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E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7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124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A30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评审项2：相关对接系统</w:t>
            </w:r>
          </w:p>
        </w:tc>
      </w:tr>
      <w:tr w14:paraId="5B44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9F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3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4127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应急信息采集系统</w:t>
            </w:r>
          </w:p>
        </w:tc>
      </w:tr>
      <w:tr w14:paraId="6951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4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7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应急信息采集（前置）软件</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5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1.确认前置系统访问者的身份的合法性。通过用户名密码等方式进行认证；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2.注册维护可使用系统的人员信息；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3.根据实际业务为不同的用户分配不同的权限；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4.能够在本地进行应急信息的录入，包括预警内容、事件等级、覆盖区域等；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5.详能够查询本系统所有的操作日志，包括用户登录信息、信息上传信息；</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8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54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5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4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密码器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79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1.支持国密SM系列算法；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2.具有签名、验签功能；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3.采用的数字证书和数字签名技术符合《GD/J 081—2018 应急广播安全保护技术规范数字签名》的要求。</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E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5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02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C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2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2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1、端口≥16个10/100/1000Base-T以太网端口，≥4个1000 Base-X 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2、交换容量≥336Gbps，转发性能≥78Mpps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3、支持MAC地址学习数目限制和静态MAC配置，支持端口镜像和流镜像功能，支持端口聚合、端口隔离，支持IEEE 802.3ad（动态链路聚合LACP）、静态端口聚合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4、支持802.1Q、支持基于MAC的VLAN、支持GUEST VLAN、支持MVRP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5、支持STP/RSTP/MSTP生成树协议，提高容错能力，保证网络的稳定运行和链路的负载均衡，合理使用网络通道，提供冗余链路利用率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6、支持静态路由，支持IPv6静态路由、双协议栈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7、支持端口自环检测，可防止数据环路引起广播风暴；支持端口限速以及流限速功能，防止恶意侵占网络带宽，提供多种精细化管理手段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8、支持防私接DHCP Snooping，避免上网终端从非法DHCP服务器分配IP地址，保障网络安全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9、支持802.1X和MAC认证，支持客户端软件版本检测、Guest VLAN等功能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10、支持防雷等级≥6KV</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9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6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4D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A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C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PC工作站</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8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1.CPU：配置1颗CPU，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2.7GHz，8核。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3.内存：8GB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4.硬盘：不低于256GB SATA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5.显卡：独立显卡；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6.显示器：液晶21.5英寸；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7.配置正版操作系统；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8.1个千兆网卡，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9.含USB鼠标和键盘。</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0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5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B29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6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3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F7F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市级平台对接</w:t>
            </w:r>
          </w:p>
        </w:tc>
      </w:tr>
      <w:tr w14:paraId="66AB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1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3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★市级应急广播平台对接</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9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实现县级应急广播平台与市级应急广播平台对接（须提供承诺函承诺可实现对接市级和省级紧急广播平台，格式自拟）</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3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5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64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79C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网络费</w:t>
            </w:r>
          </w:p>
        </w:tc>
      </w:tr>
      <w:tr w14:paraId="17A6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084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评审项3：应急广播传输覆盖网络适配系统清单</w:t>
            </w:r>
          </w:p>
        </w:tc>
      </w:tr>
      <w:tr w14:paraId="5E76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AE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3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F9F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有线数字电视前端应急广播适配系统</w:t>
            </w:r>
          </w:p>
        </w:tc>
      </w:tr>
      <w:tr w14:paraId="3397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1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A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有线数字电视应急广播适配器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C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1.支持2路线路、1路FM信号、TS信号、IP信号、1路话筒、1路U盘输入，支持1路IP信号控制和1路RS232接口，1路音频输出、1路57KHz调频副载波输出、1路调频输出；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2.支持普通广播、应急广播上级普通广播、上级应急广播等多种模式广播；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3.支持手动广播、应急插播两种开启方式；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4.内置监听扬声器，高保真信号源监听，自动监听高优先级广播；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5.设备支持远程web参数配置和平台对机器进行上级广播的下发；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6.带U盘播放MP3功能；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7.支持远程网管功能SNMP（V1.0/V2.0）；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 ≥90dB；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9.工作电压范围 AC:90～300V。</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E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6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09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E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A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密码器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0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1.支持国密SM系列算法；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2.具有签名、验签功能；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3.采用的数字证书和数字签名技术符合《GD/J 081—2018 应急广播安全保护技术规范数字签名》的要求。</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D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A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9BC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8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7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BC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1、性能：交换容量≥336Gbps；转发性能≥108Mpps；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2、接口类型：≥24个千兆电口+2个Combo口+2个千兆SFP口+1个Console口；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3、支持手工汇聚和动态汇聚两种汇聚模式，有效增加链路带宽，提高链路的可靠性，同时可以实现负载均衡、链路备份；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4、支持IEEE802.3x全双工流控和Backpressure半双工流控；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5、支持LCD屏显技术，支持不小于2寸LCD屏显技术，显示各端口工作状态，对网络及端口的工作状态进行实时显示，并能精确显示上、下行流量带宽；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6、LCD可视屏幕监视网络工作状态及帮助故障分析，LCD屏幕具备静默模式，杜绝光污染；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7、支持通过LCD屏显示设备的各种报警故障, 包含：网络环路告警 , IP地址冲突告警，丢包率告警，设备非法接入告警，下挂设备离线告警；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8、具备硬件旋钮，在工作状态时，应能通过旋钮对设备进行配置，包含交换机模式设置，LCD屏幕的工作模式，设备配置更新，密码更新功能；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9、支持带宽预警功能，对网络流量阈值进行监控，实时保证网络畅通；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10、支持IP+MAC+端口绑定、DHCP Snooping，支持IEEE 802.1x认证、命令行分级保护；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11、具有端口隔离功能，用户可根据应用场景的不同选择开启或关闭，提升网络安全和抑制网络风暴；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12、高可靠性设计，支持传统的STP/RSTP/MSTP二层链路保护技术；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13、支持802.1Q (最大4K个VLAN)、支持基于协议的VLAN、IP子网的VLAN、MAC的VLAN；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14、具备环路检测功能，采用智能解除机制，实现网络智能自愈；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15、设备自带安全准入接口，支持对非授权接入设备安全防护，维护网络安全；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16、内置电子标签功能，并通过LCD彩屏显示电子标签，实现全网设备标签数字化，精准标识各接入设备或终端的网络位置及安装地理位置，便于设备的查找及运维管理；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17、集成MQTT消息队列遥测传输协议，具备MQTT Client功能；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18、内置Onvif Server模块，具备Onvif探测功能，以便对网络中的Onvif设备进行诊断测试；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19、灵活方便的管理维护，支持Web、Console、Telnet、SSH、SNMP(v1/v2c/v3)、多种管理方式；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20、支持≥6KV端口防雷功能；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21、支持TFTP、HTTP传输方式的文件上传与下载管理；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22、支持运维平台管理；</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6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D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0C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9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C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尺寸；1000*600*2000mm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材料：1mm冷轧钢板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表面处理：喷塑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颜色：黑色</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A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C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FD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C6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3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AFD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调频台站应急广播适配系统</w:t>
            </w:r>
          </w:p>
        </w:tc>
      </w:tr>
      <w:tr w14:paraId="0AB0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6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F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调频广播应急广播适配器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1.支持2路线路、1路FM信号、TS信号、IP信号、1路话筒、1路U盘输入，支持1路IP信号控制和1路RS232接口，1路音频输出、1路57KHz调频副载波输出、1路调频输出；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2.支持普通广播、应急广播上级普通广播、上级应急广播等多种模式广播；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3.支持手动广播、应急插播两种开启方式；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4.内置监听扬声器，高保真信号源监听，自动监听高优先级广播；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5.设备支持远程web参数配置和平台对机器进行上级广播的下发；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6.带U盘播放MP3功能；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7.支持远程网管功能SNMP（V1.0/V2.0）；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 ≥90dB（本设备音频输入输出：线路0dBu）；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9.工作电压范围 AC:90～300V。</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A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5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34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0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8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密码器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7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1.支持国密SM系列算法；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2.具有签名、验签功能；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3.采用的数字证书和数字签名技术符合《GD/J 081—2018 应急广播安全保护技术规范数字签名》的要求。</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8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0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A9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5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3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音频切换器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D2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1.2路模拟立体声输入由数字智能控制选择1路立体声输出。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2.支持系统对每一左右输入通道进行实时动态电平的精确检测，根据自动切换参数产生每一通道有无音频标志并进行通道自动切换。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3．须具有远程通信功能，通过远程串口读取每一通道电平值及有无音频标志，同时远程控制音频切换。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4.前面板装有耳机监听插座用于监听当前切换通道音频，在断电情况下，该设备具有直通功能。</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B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B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F41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6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7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调频激励器（带RDS接口）</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8F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技术指标完全符合或优于国家标准（ GB/T4311-2000）和行业标准（ GY/T169-2001）；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2、采用高增益、高线性LDMOS 进口功放模块；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频率全段10kHz 步进可调；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4、采用先进的数字信号处理技术（FPGA+DAC）；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5、具有AGC 大环路功能，保持功率恒定输出，保障产品的稳定性、可靠性；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输出功率可根据用户需求任意设置；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7、低功耗超设计，提升发射机的发射功率， 并降低非线性失真产物；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支持LED 灯及液晶显示屏指示主要报警和监控信号；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9、配备高效率功放开关电源， 输入电压范围宽，适应不同的工作环境；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10、具有多重防雷措施和完善的保护（过压、过流、欠压、过温、驻波、过激励）；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发射机具备自我保护、故障自我诊断功能；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12、发射机具备遥控遥测接口， 对发射机工作状态进行监测(远程/本地)；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13、支持发射机工作状态的实时监控和报警功能；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14、采用风机强迫制冷设计；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15、智能化全数字面板控制,操作简单、方便。</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3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B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E0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F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5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7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1,L2以太网交换机；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.16个10/100/1000BASE-T电口；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3.MAC地址表：支持黑洞MAC地址、设置端口MAC地址学习最大个数；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4.VLAN：支持基于端口的VLAN、QinQ、灵活QinQ、协议VLAN、MAC VLAN；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5.DHCP：支持DHCP Client、DHCP Snooping、 DHCP Relay；</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C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C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B6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3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5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尺寸；1000*600*2000mm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材料：1mm冷轧钢板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表面处理：喷塑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配置智能控制器：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1、产品高度：≤2U。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菜单：显示屏上显示主页、电压、监测、网络、定时、遥控、延时、级联、屏保、信息。提供具备CMA，CNAS资质认证的第三方检测机构出具的检测报告复印件予以佐证（报告需带CMA，CNAS标识）;报告内有投标实物图片、报告官网可查询并提供查询截图和网站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3、支持通道用电监测：可实时显示每一路的工作电流，整机负载耗电的功率统计。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童锁设置：支持童锁设置，能预防非专业人员误操作设备，童锁开启后，主页面亮起黄色锁头标志，此时面板功能被锁定。提供具备CMA，CNAS资质认证的第三方检测机构出具的检测报告复印件予以佐证（报告需带CMA，CNAS标识）;报告内有投标实物图片、报告官网可查询并提供查询截图和网站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手机远程控制：可通过手机APP可远程异地同步控制开关电源，每一路负载会上传使用电流，电压，温度和湿度到服务器，用户可打开手机异地监测并控制。提供具备CMA，CNAS资质认证的第三方检测机构出具的检测报告复印件予以佐证（报告需带CMA，CNAS标识）;报告内有投标实物图片、报告官网可查询并提供查询截图和网站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6、主页面：显示当前北京时间、设备当前IP地址、童锁状态、联网状态、菜单页入口、说明书和小程序二维码入口、设备当前的工作电压、耗电功率、温度和湿度、八通道的工作状态。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7、设备设置：可根据项目地点命名设备，每通道负载也可自定义命名，更直观更方便管理设备；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8、物联网设置功能：自动搜寻网络、选择网络、连接网络、本机IP显示，校准时间；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9、设备信息：可查看设备编号、工作时长及累计用电量；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配置管理员：用户通过手机微信扫描二维码绑定设备，绑定后成为设备管理员，管理员可自由分配控制用户。设备绑定后二维码立即失效保证远程控制安全性。提供具备CMA，CNAS资质认证的第三方检测机构出具的检测报告复印件予以佐证（报告需带CMA，CNAS标识）;报告内有投标实物图片、报告官网可查询并提供查询截图和网站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控制墙板：可选配触摸墙板，远程控制通道、场景编辑，多种模式切换控制，自定义编辑场景，双向数据同步，支持掉线提醒，设备连接中断会弹窗提醒。提供具备CMA，CNAS资质认证的第三方检测机构出具的检测报告复印件予以佐证（报告需带CMA，CNAS标识）;报告内有投标实物图片、报告官网可查询并提供查询截图和网站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12、▲USB、DATA接口：≥2路USB接口，≥2路DATA接口；提供该设备以上端口界面截图；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13、▲RJ45插座：≥1路LINKIN，≥1路LINK OUT，≥1路RS232/485，1路TCP/IP；提供该设备以上端口界面截图。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14、433射频遥控：可支持射频遥控器在遮挡情况下可控制时序开启或关闭所有通道。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15、红外遥控：可支持红外遥控器开启或关闭所有通道。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启动方式：支持电源开关时序启动，支持红外遥控启动、支持433射频遥控启动、支持移动终端控制启动，支持PC端控制启动。提供具备CMA，CNAS资质认证的第三方检测机构出具的检测报告复印件予以佐证（报告需带CMA，CNAS标识）;报告内有投标实物图片、报告官网可查询并提供查询截图和网站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电压保护：支持高低压保护设置，当工作电压超过或低于预设值时，会自动断电并弹窗报警提示。提供具备CMA，CNAS资质认证的第三方检测机构出具的检测报告复印件予以佐证（报告需带CMA，CNAS标识）;报告内有投标实物图片、报告官网可查询并提供查询截图和网站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定位功能：设备支持定位扩展功能，可通过电脑读取到该设备所在的经纬度、海拔和工作时长等信息，以了解无线信号传输稳定性。提供具备CMA，CNAS资质认证的第三方检测机构出具的检测报告复印件予以佐证（报告需带CMA，CNAS标识）;报告内有投标实物图片、报告官网可查询并提供查询截图和网站链接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19、▲可通过电脑软件集中管理内网设备，可实现一键开关机，自定义编辑场景模式并快捷切换场景，可自定义编辑设备名称、通道名称、场景名称。（需提供软件界面截图）</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5CA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84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3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34E5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地面数字电视前端应急广播适配系统</w:t>
            </w:r>
          </w:p>
        </w:tc>
      </w:tr>
      <w:tr w14:paraId="2CBB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9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4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地面数字电视应急广播适配器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1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1.具备≥2个100M以太网接口；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2.具备≥1路串口：RS232接口，可外接其他应急广播监测设备；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3.具备前面板液晶屏及按键，可查询IP地址等主要参数和设备告警状态；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4.工作电压范围 AC:90～300V。</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5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D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BEC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C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B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密码器</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C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1.支持国密SM系列算法；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2.具有签名、验签功能；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3.采用的数字证书和数字签名技术符合《GD/J 081—2018 应急广播安全保护技术规范数字签名》的要求。</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7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C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18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50C9">
            <w:pP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1ED1">
            <w:pPr>
              <w:rPr>
                <w:rFonts w:hint="eastAsia" w:ascii="宋体" w:hAnsi="宋体" w:eastAsia="宋体" w:cs="宋体"/>
                <w:i w:val="0"/>
                <w:iCs w:val="0"/>
                <w:color w:val="000000"/>
                <w:sz w:val="22"/>
                <w:szCs w:val="22"/>
                <w:u w:val="none"/>
              </w:rPr>
            </w:pPr>
          </w:p>
        </w:tc>
        <w:tc>
          <w:tcPr>
            <w:tcW w:w="7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378A">
            <w:pPr>
              <w:jc w:val="left"/>
              <w:rPr>
                <w:rFonts w:hint="eastAsia" w:ascii="宋体" w:hAnsi="宋体" w:eastAsia="宋体" w:cs="宋体"/>
                <w:i w:val="0"/>
                <w:iCs w:val="0"/>
                <w:color w:val="000000"/>
                <w:sz w:val="22"/>
                <w:szCs w:val="22"/>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5856">
            <w:pPr>
              <w:rPr>
                <w:rFonts w:hint="eastAsia" w:ascii="宋体" w:hAnsi="宋体" w:eastAsia="宋体" w:cs="宋体"/>
                <w:i w:val="0"/>
                <w:iCs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D334">
            <w:pPr>
              <w:jc w:val="center"/>
              <w:rPr>
                <w:rFonts w:hint="eastAsia" w:ascii="宋体" w:hAnsi="宋体" w:eastAsia="宋体" w:cs="宋体"/>
                <w:i w:val="0"/>
                <w:iCs w:val="0"/>
                <w:color w:val="000000"/>
                <w:sz w:val="22"/>
                <w:szCs w:val="22"/>
                <w:u w:val="none"/>
              </w:rPr>
            </w:pPr>
          </w:p>
        </w:tc>
      </w:tr>
      <w:tr w14:paraId="6CA1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1E1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评审项4：县级应急广播平台安全防护</w:t>
            </w:r>
          </w:p>
        </w:tc>
      </w:tr>
      <w:tr w14:paraId="3F32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7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3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下一代防火墙</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A6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1.标准1U规格设备，单台设备网络层吞吐量≥3G，应用层吞吐量≥1G，防病毒吞吐量≥500M，IPS吞吐量≥400M，全威胁吞吐量（不含WAF）≥300M，并发连接数≥100万，HTTP新建连接数≥3万，IPSec VPN 最大接入数≥200，IPSec  VPN吞吐量≥200M。内存大小≥4G，硬盘容量≥64G SSD，单电源，接口≥6千兆电口+2千兆光口SFP。提供三年维保服务。</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2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9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F2F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3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日志审计系统</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0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1.标准2U规格设备，单台设备默认包含主机审计许可证书数量≥50，最大可扩展审计主机许可数≥150，数据盘≥4T*2（raid1），平均每秒处理日志数（eps）最大性能≥2500。内存大小≥16G，硬盘容量≥128G minisata+4T SATA*2，单电源，接口≥6千兆电口+2万兆光口SFP+。提供三年维保服务。</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9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8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3C9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C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5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防病毒系统</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C8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B/S架构的管理控制中心，具备终端安全可视，终端统一管理，统一威胁处置，统一漏洞修复，威胁响应处置，日志记录与查询等功能,提供PC授权≥50（套），服务器授权≥6（套），含三年升级许可。客户端需兼容国产化和非国产化的操作系统。</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C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73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6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B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二级等保咨询和测评</w:t>
            </w:r>
          </w:p>
        </w:tc>
        <w:tc>
          <w:tcPr>
            <w:tcW w:w="7928" w:type="dxa"/>
            <w:tcBorders>
              <w:top w:val="nil"/>
              <w:left w:val="nil"/>
              <w:bottom w:val="nil"/>
              <w:right w:val="nil"/>
            </w:tcBorders>
            <w:shd w:val="clear" w:color="auto" w:fill="auto"/>
            <w:noWrap/>
            <w:vAlign w:val="center"/>
          </w:tcPr>
          <w:p w14:paraId="3EC04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系统等保咨询服务+等保测评服务</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0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4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50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0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B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项目性能和安全测试费</w:t>
            </w:r>
          </w:p>
        </w:tc>
        <w:tc>
          <w:tcPr>
            <w:tcW w:w="7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1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项目性能和安全测试费</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A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6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AF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29F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评审项5：应急广播乡镇/街道平台总清单</w:t>
            </w:r>
          </w:p>
        </w:tc>
      </w:tr>
      <w:tr w14:paraId="0743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D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8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应急广播乡镇级分控软件</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2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1.具备对镇级播发的应急广播信息进行监控；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2.支持镇级文件播发；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3.具有播发日志功能；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4.登陆用户分级、分层权限管理；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5.支持实时应急广播、实时普通广播及流程广播；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6.支持镇级媒资采集，可采集直播、文字、本地文件等资源；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7.支持国密算法 SM2、SM3。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6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27D0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6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F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PC工作站</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1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1.CPU：配置1颗CPU，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2.7GHz，8核。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3.内存：8GB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4.硬盘：不低于256GB SATA SSD；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5.显卡：独立显卡；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6.显示器：液晶21.5英寸；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7.配置正版操作系统；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8.1个千兆网卡，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9.含USB鼠标和键盘。</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D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A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6E5F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D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C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IP话筒</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7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1.集接收、编码和播控管理功能于一体，集成度高；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2.触摸屏设计，操作简单，一目了然；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3.支持按优先级广播，紧急广播优先播出；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4.支持分区域广播；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5.支持设置屏幕锁定密码，保证控制系统安全；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6.内置监听扬声器，高保真信号源监听；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7.支持一键式开启应急 / 日常广播功能；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8.应急广播优先级可自定义选择（上级优先 / 下级优先）功能；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9.具有一路话筒输入，两路音频输入接口，话筒和音频音量大小可调；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10.系统逻辑码寻址操作功能；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 USB 播放功能。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双活平台对接：支持同时对接备份双活应急广播平台，可同时管理，调度，播控。也支持同时对接应急广播平台和自然灾害应急预警叫应系统平台（评审依据：投标人须提供国家广播电视总局下属检测机构出具的应急广播设备测试认证报告扫描件，或提供其它第三方国家级检测机构出具的，标有 CMA 或 CNAS 或 ilac-MRA 标识的检测报告扫描件作为佐证材料）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选配省流模式开启时：在有广播时，音源通道为本级通道才需要推流；在无广播时，切换通道，监听能响，但是不推流；省流模式关闭时，音源不为无信号就推流（评审依据：投标人须提供国家广播电视总局下属检测机构出具的应急广播设备测试认证报告扫描件，或提供其它第三方国家级检测机构出具的，标有 CMA 或 CNAS 或 ilac-MRA 标识的检测报告扫描件作为佐证材料）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▲支持选配5G 安全配置功能：支持 5G DNN 配置，支持平台远程下发DNN 配置模板自动配置（评审依据：投标人须提供国家广播电视总局下属检测机构出具的应急广播设备测试认证报告扫描件，或提供其它第三方国家级检测机构出具的，标有 CMA 或 CNAS 或 ilac-MRA 标识的检测报告扫描件作为佐证材料）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选配显示屏生成树展示管理功能：支持显示屏生成树显示所辖网络终端（评审依据：投标人须提供国家广播电视总局下属检测机构出具的应急广播设备测试认证报告扫描件，或提供其它第三方国家级检测机构出具的，标有 CMA 或 CNAS 或 ilac-MRA 标识的检测报告扫描件作为佐证材料）</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5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7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7172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F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1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监听音箱</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0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1.支持IP、DVB-C、DTMB、FM-RDS广播信息接收；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2.支持IP数据回传；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3.可远程监控工作频率及PID等参数；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4.支持主板软件远程升级；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5.采用数字功放芯片，完善过热、过压、过流、短路保护功能；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6.待机时功放芯片进入待机模式，减小整机待机功耗；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7.正常广播和应急广播音量均可手动调整；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8.额定输出功率25W；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9.支持开关机声音淡入淡出功能；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10.防盗播，防插播，防干扰能力强；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11.可远程控制本机开关机、音量调节、频率切换等操作；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12.按物理码或逻辑码寻址执行上级下发的控制命令；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13.具有复位键恢复出厂设置的功能；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14.防雨铝合金喷塑外壳，ABS工程塑料上下底盖， 防漏电，防击穿。</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3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6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6DD4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D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9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网络适配设备</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B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采用点到多点网络拓扑，有效地收集用户分散的以太网业务并汇聚，在用户侧提供标准 RJ45 快速以太网接口，与现有网络平滑互联。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1、动态带宽分配机制使所有用户更合理地共享下行2.5Gbps 的带宽，实现可靠的服务质量 (QoS)，确保同一网络中的不同业务的服务品质。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2、支持 IGMP 组播，有效利用宽带。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3、支持以太网环路检测，自动判断设备所接网络是否存在以太网环路阻断，环路消失时，能自动恢复。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4、支持组播 VLAN。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5、支持远端环回，远程诊断网络状态。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6、丰富的 OAM 功能设计，包括配置、告警、性能监控、故障隔离和安全管理等，既提供通过 OLT 进行的远程管理，又支持本地控制台管理。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7、采用镀锌板设计外壳。</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0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E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3CDB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9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0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网络汇聚交换机</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7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1、网络标准：IEEE 802.3 、IEEE 802.3u、IEEE 802.3x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2、上行端口速率：百兆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3、下行端口速率：百兆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4、端口数量：8口</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F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B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38C3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1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6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18U机柜</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B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18U颜色:黑色/白色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前门:玻璃门/网孔门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类型:网络机柜、服务器机柜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用途:装载交换机、路由器、服务器等设备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厚度:立柱:2.0mm/钢板:1.0mm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立柱间距:标准19英寸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表面处理:脱脂酸洗磷化静电喷涂</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D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5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2829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2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0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安装调试及辅材</w:t>
            </w:r>
          </w:p>
        </w:tc>
        <w:tc>
          <w:tcPr>
            <w:tcW w:w="7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21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安装所需辅材，含网线、插线板、螺钉、扎线、标签纸等。</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0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328E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08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D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评审项6：村部应急广播建设清单</w:t>
            </w:r>
          </w:p>
        </w:tc>
      </w:tr>
      <w:tr w14:paraId="214D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6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A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应急广播村级播控一体机</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6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1.集接收、编码和播控管理功能于一体，集成度高；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2.触摸屏设计，操作简单，一目了然；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3.支持按优先级广播，紧急广播优先播出；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4.支持分区域广播；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5.支持设置屏幕锁定密码，保证控制系统安全；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6.内置监听扬声器，高保真信号源监听；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7.支持一键式开启应急 / 日常广播功能；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8.应急广播优先级可自定义选择（上级优先 / 下级优先）功能；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9.具有一路话筒输入，两路音频输入接口，话筒和音频音量大小可调；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10.系统逻辑码寻址操作功能；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 USB 播放功能。</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7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E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r>
      <w:tr w14:paraId="2B11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F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5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智能多模收扩机</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2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1.自适应接收DVB-C/DTMB射频信号，解析上级下发的控制命令；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2.支持FM-RDS调频信号接收；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3.支持IP网络解码信号接收；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4.具有IP数据回传及定位功能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5.支持主板软件远程升级；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6.采用数字功放芯片，完善过热，过压，过流，短路保护功能；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7.待机时功放芯片进入待机模式，减小整机待机功耗；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8.正常广播音量手动可调，应急广播音量手动不可调；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9.额定输出功率50W，2组音频输出；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10.支持开关机声音淡入淡出功能；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11.支持国产密码算法SM2/SM3/SM4，并对通讯指令加解密；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12.防盗播，防插播，防干扰能力强；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13.可远程控制本机开关机、音量调节、频率切换等操作；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14.按物理码或逻辑码寻址执行上级下发的控制命令；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15.具有复位键恢复出厂设置功能；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16.支持手机APP扫描运维、巡更打卡功能。可以实现通过应急广播APP扫描设备箱体上的二维码或条形码识别设备信息，修改设备参数，并根据手机定位匹配附近应急广播终端；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音频功放信噪比 ≥90dB；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18.工作电压 AC:90～300V。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 EOC/ONU 通信模块：支持选配内置 EOC/ONU 通信模块（评审依据：投标人须提供国家广播电视总局下属检测机构出具的应急广播设备测试认证报告扫描件，或提供其它第三方国家级检测机构出具的，标有 CMA 或 CNAS 或 ilac-MRA 标识的检测报告扫描件作为佐证材料）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▲支持选配5G 安全配置，支持 5G DNN 配置，支持平台远程下发DNN 配置模板自动配置；（需提供国家广播电视总局下属检测机构出具的测试认证报告扫描件加盖投标人公章，或提供其它第三方权威检测机构出具的，标有CMA或CNAS标识的检测报告扫描件加盖投标人公章作为佐证材料）</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7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A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r>
      <w:tr w14:paraId="5BCC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1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高音喇叭</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2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功率（W）：25max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阻抗（Ω）：8±10%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声压级/dB/m，w：108±3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频率（Hz）：200—6000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尺寸：φ480*416</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9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6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r>
      <w:tr w14:paraId="04B0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9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6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广播音柱</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A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1.自适应接收DVB-C/DTMB射频信号，解析上级下发的控制命令；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2.支持FM-RDS调频信号接收；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3.支持IP网络解码信号接收；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4.具有IP数据回传及定位功能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5.支持主板软件远程升级；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6.采用数字功放芯片，完善的过热，过压，过流，短路保护功能；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7.待机时功放芯片进入待机模式，减小整机待机功耗；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8.正常广播音量手动可调，应急广播音量手动不可调；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9.额定输出功率25W；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10.支持开关机声音淡入淡出功能；</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B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A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r>
      <w:tr w14:paraId="54DE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8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8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物联网通信模块</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E6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配套播控一体机/收扩机使用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D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9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w:t>
            </w:r>
          </w:p>
        </w:tc>
      </w:tr>
      <w:tr w14:paraId="63FE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2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9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安全模块</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04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ESAM嵌入式安全模块</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8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0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r>
      <w:tr w14:paraId="1DEE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0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6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电源接入防护箱</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7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内置电源插座和空开。</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A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2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r>
      <w:tr w14:paraId="196F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F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F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防雷接地系统</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E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接受终端防雷接地，含接地线和接地体。</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E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B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r>
      <w:tr w14:paraId="70AD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9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E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线缆、管道及安装辅材等</w:t>
            </w:r>
          </w:p>
        </w:tc>
        <w:tc>
          <w:tcPr>
            <w:tcW w:w="7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2F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安装所需辅材，含网线、插线板、螺钉、扎线、标签纸等。</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4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3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r>
      <w:tr w14:paraId="32B8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B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2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安装调试费</w:t>
            </w:r>
          </w:p>
        </w:tc>
        <w:tc>
          <w:tcPr>
            <w:tcW w:w="7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1D17">
            <w:pPr>
              <w:keepNext w:val="0"/>
              <w:keepLines w:val="0"/>
              <w:widowControl/>
              <w:suppressLineNumbers w:val="0"/>
              <w:jc w:val="left"/>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设备安装调试</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8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r>
    </w:tbl>
    <w:p w14:paraId="2E2AD0B4">
      <w:pPr>
        <w:pStyle w:val="20"/>
        <w:numPr>
          <w:ilvl w:val="0"/>
          <w:numId w:val="0"/>
        </w:numPr>
        <w:spacing w:line="360" w:lineRule="auto"/>
        <w:jc w:val="both"/>
        <w:outlineLvl w:val="2"/>
        <w:rPr>
          <w:rFonts w:hint="eastAsia" w:ascii="宋体" w:hAnsi="宋体" w:eastAsia="宋体" w:cs="宋体"/>
          <w:b/>
          <w:sz w:val="24"/>
          <w:szCs w:val="24"/>
        </w:rPr>
      </w:pPr>
    </w:p>
    <w:p w14:paraId="4DFE5C6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80" w:lineRule="atLeast"/>
        <w:ind w:right="0"/>
        <w:jc w:val="left"/>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备注：★1.招标文件第五章招标内容及要求中带“★”要求任一项负偏离的为无效投标。投标人可提供承诺函，承诺满足招标文件第五章招标内容及要求中的所有要求，其中如有要求提供相关佐证材料的，还须按要求提供，否则视为负偏离。</w:t>
      </w:r>
    </w:p>
    <w:p w14:paraId="693854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80" w:lineRule="atLeast"/>
        <w:ind w:left="0" w:right="0" w:firstLine="420"/>
        <w:jc w:val="lef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★2.投标人须在投标文件报价部分对采购清单内产品进行分项报价，且投报的产品单价不得超过采购清单中最高控制单价，否则为无效投标。</w:t>
      </w:r>
    </w:p>
    <w:p w14:paraId="3402A55B">
      <w:pPr>
        <w:widowControl/>
        <w:numPr>
          <w:ilvl w:val="0"/>
          <w:numId w:val="0"/>
        </w:numPr>
        <w:spacing w:before="100" w:beforeAutospacing="1" w:after="100" w:afterAutospacing="1" w:line="360" w:lineRule="auto"/>
        <w:ind w:firstLine="482" w:firstLineChars="200"/>
        <w:jc w:val="left"/>
        <w:rPr>
          <w:rFonts w:asciiTheme="majorEastAsia" w:hAnsiTheme="majorEastAsia" w:eastAsiaTheme="majorEastAsia"/>
          <w:b/>
          <w:color w:val="FF0000"/>
          <w:sz w:val="24"/>
          <w:szCs w:val="24"/>
        </w:rPr>
      </w:pPr>
      <w:r>
        <w:rPr>
          <w:rFonts w:hint="eastAsia" w:asciiTheme="majorEastAsia" w:hAnsiTheme="majorEastAsia" w:eastAsiaTheme="majorEastAsia"/>
          <w:b/>
          <w:color w:val="000000"/>
          <w:sz w:val="24"/>
          <w:szCs w:val="24"/>
        </w:rPr>
        <w:t>★</w:t>
      </w:r>
      <w:r>
        <w:rPr>
          <w:rFonts w:hint="eastAsia" w:asciiTheme="majorEastAsia" w:hAnsiTheme="majorEastAsia" w:eastAsiaTheme="majorEastAsia"/>
          <w:b/>
          <w:color w:val="000000"/>
          <w:sz w:val="24"/>
          <w:szCs w:val="24"/>
          <w:lang w:val="en-US" w:eastAsia="zh-CN"/>
        </w:rPr>
        <w:t>3.</w:t>
      </w:r>
      <w:r>
        <w:rPr>
          <w:rFonts w:hint="eastAsia" w:asciiTheme="majorEastAsia" w:hAnsiTheme="majorEastAsia" w:eastAsiaTheme="majorEastAsia"/>
          <w:b/>
          <w:color w:val="000000"/>
          <w:sz w:val="24"/>
          <w:szCs w:val="24"/>
        </w:rPr>
        <w:t>备注：依据《关于印发节能产品政府采购品目清单的通知》（财库〔2019〕19号）和《关于调整优化节能产品、环境标志产品政府采购执行机制的通知》（财库[2019]9号）的规定，投标人须提供所投</w:t>
      </w:r>
      <w:r>
        <w:rPr>
          <w:rFonts w:hint="eastAsia" w:asciiTheme="majorEastAsia" w:hAnsiTheme="majorEastAsia" w:eastAsiaTheme="majorEastAsia"/>
          <w:b/>
          <w:bCs w:val="0"/>
          <w:color w:val="000000"/>
          <w:sz w:val="24"/>
          <w:szCs w:val="24"/>
          <w:u w:val="single"/>
        </w:rPr>
        <w:t>[</w:t>
      </w:r>
      <w:r>
        <w:rPr>
          <w:rFonts w:hint="eastAsia" w:asciiTheme="majorEastAsia" w:hAnsiTheme="majorEastAsia" w:eastAsiaTheme="majorEastAsia"/>
          <w:b/>
          <w:bCs w:val="0"/>
          <w:color w:val="000000"/>
          <w:sz w:val="24"/>
          <w:szCs w:val="24"/>
          <w:u w:val="single"/>
          <w:lang w:val="en-US" w:eastAsia="zh-CN"/>
        </w:rPr>
        <w:t>工作站</w:t>
      </w:r>
      <w:r>
        <w:rPr>
          <w:rFonts w:hint="eastAsia" w:ascii="宋体" w:hAnsi="宋体" w:eastAsia="宋体" w:cs="宋体"/>
          <w:b/>
          <w:bCs w:val="0"/>
          <w:i w:val="0"/>
          <w:iCs w:val="0"/>
          <w:color w:val="000000"/>
          <w:kern w:val="0"/>
          <w:sz w:val="24"/>
          <w:szCs w:val="24"/>
          <w:u w:val="single"/>
          <w:lang w:val="en-US" w:eastAsia="zh-CN" w:bidi="ar"/>
        </w:rPr>
        <w:t>所配的液晶显示器</w:t>
      </w:r>
      <w:r>
        <w:rPr>
          <w:rFonts w:hint="eastAsia" w:asciiTheme="majorEastAsia" w:hAnsiTheme="majorEastAsia" w:eastAsiaTheme="majorEastAsia"/>
          <w:b/>
          <w:bCs w:val="0"/>
          <w:color w:val="000000"/>
          <w:sz w:val="24"/>
          <w:szCs w:val="24"/>
          <w:u w:val="single"/>
        </w:rPr>
        <w:t>]</w:t>
      </w:r>
      <w:r>
        <w:rPr>
          <w:rFonts w:hint="eastAsia" w:asciiTheme="majorEastAsia" w:hAnsiTheme="majorEastAsia" w:eastAsiaTheme="majorEastAsia"/>
          <w:b/>
          <w:color w:val="000000"/>
          <w:sz w:val="24"/>
          <w:szCs w:val="24"/>
        </w:rPr>
        <w:t>有效的节能认证证书复</w:t>
      </w:r>
      <w:r>
        <w:rPr>
          <w:rFonts w:hint="eastAsia" w:asciiTheme="majorEastAsia" w:hAnsiTheme="majorEastAsia" w:eastAsiaTheme="majorEastAsia"/>
          <w:b/>
          <w:sz w:val="24"/>
          <w:szCs w:val="24"/>
        </w:rPr>
        <w:t>印件</w:t>
      </w:r>
      <w:r>
        <w:rPr>
          <w:rFonts w:hint="eastAsia" w:asciiTheme="majorEastAsia" w:hAnsiTheme="majorEastAsia" w:eastAsiaTheme="majorEastAsia"/>
          <w:b/>
          <w:color w:val="FF0000"/>
          <w:sz w:val="24"/>
          <w:szCs w:val="24"/>
          <w:u w:val="single"/>
        </w:rPr>
        <w:t>（提示：①认证机构须为《</w:t>
      </w:r>
      <w:r>
        <w:rPr>
          <w:rFonts w:hint="eastAsia" w:cs="宋体" w:asciiTheme="majorEastAsia" w:hAnsiTheme="majorEastAsia" w:eastAsiaTheme="majorEastAsia"/>
          <w:b/>
          <w:color w:val="FF0000"/>
          <w:kern w:val="0"/>
          <w:sz w:val="24"/>
          <w:szCs w:val="24"/>
          <w:u w:val="single"/>
        </w:rPr>
        <w:t>参与实施政府采购节能产品认证机构名录</w:t>
      </w:r>
      <w:r>
        <w:rPr>
          <w:rFonts w:hint="eastAsia" w:asciiTheme="majorEastAsia" w:hAnsiTheme="majorEastAsia" w:eastAsiaTheme="majorEastAsia"/>
          <w:b/>
          <w:color w:val="FF0000"/>
          <w:sz w:val="24"/>
          <w:szCs w:val="24"/>
          <w:u w:val="single"/>
        </w:rPr>
        <w:t>》内的机构，②所投报的产品型号应与证书中的产品型号一致）</w:t>
      </w:r>
      <w:r>
        <w:rPr>
          <w:rFonts w:hint="eastAsia" w:asciiTheme="majorEastAsia" w:hAnsiTheme="majorEastAsia" w:eastAsiaTheme="majorEastAsia"/>
          <w:b/>
          <w:color w:val="FF0000"/>
          <w:sz w:val="24"/>
          <w:szCs w:val="24"/>
        </w:rPr>
        <w:t>，否则</w:t>
      </w:r>
      <w:r>
        <w:rPr>
          <w:rFonts w:asciiTheme="majorEastAsia" w:hAnsiTheme="majorEastAsia" w:eastAsiaTheme="majorEastAsia"/>
          <w:b/>
          <w:color w:val="FF0000"/>
          <w:sz w:val="24"/>
          <w:szCs w:val="24"/>
        </w:rPr>
        <w:t>为无效投标。</w:t>
      </w:r>
    </w:p>
    <w:p w14:paraId="7BF1284F">
      <w:pPr>
        <w:widowControl/>
        <w:numPr>
          <w:ilvl w:val="0"/>
          <w:numId w:val="0"/>
        </w:numPr>
        <w:spacing w:before="100" w:beforeAutospacing="1" w:after="100" w:afterAutospacing="1" w:line="360" w:lineRule="auto"/>
        <w:ind w:firstLine="480" w:firstLineChars="200"/>
        <w:jc w:val="left"/>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4.上述参数若有涉及重量、尺寸、体积等要求表述为固定数值，未作出大于、小于等幅度的表述，均允许正负1%的误差（作出大于或小于、以上或以下数值要求的，包含本数值）。</w:t>
      </w:r>
    </w:p>
    <w:p w14:paraId="4DB346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80" w:lineRule="atLeast"/>
        <w:ind w:left="0" w:right="0" w:firstLine="420"/>
        <w:jc w:val="both"/>
        <w:rPr>
          <w:rFonts w:hint="eastAsia" w:ascii="宋体" w:hAnsi="宋体" w:eastAsia="宋体" w:cs="宋体"/>
          <w:i w:val="0"/>
          <w:iCs w:val="0"/>
          <w:caps w:val="0"/>
          <w:color w:val="0A82E5"/>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5.投标人应在投标文件中对应上述采购清单提供投报产品的制造商及品牌型号，否则造成的不利后果由投标人自行承担。</w:t>
      </w:r>
    </w:p>
    <w:p w14:paraId="16EE9AF7">
      <w:pPr>
        <w:pStyle w:val="2"/>
        <w:numPr>
          <w:ilvl w:val="0"/>
          <w:numId w:val="0"/>
        </w:numPr>
        <w:spacing w:line="360" w:lineRule="auto"/>
        <w:ind w:firstLine="482" w:firstLineChars="200"/>
        <w:jc w:val="both"/>
        <w:rPr>
          <w:rFonts w:hint="eastAsia" w:ascii="宋体" w:hAnsi="宋体" w:eastAsia="宋体" w:cs="宋体"/>
          <w:color w:val="FF0000"/>
          <w:sz w:val="24"/>
          <w:szCs w:val="24"/>
        </w:rPr>
      </w:pPr>
      <w:r>
        <w:rPr>
          <w:rFonts w:hint="eastAsia" w:ascii="宋体" w:hAnsi="宋体" w:eastAsia="宋体" w:cs="宋体"/>
          <w:b/>
          <w:bCs/>
          <w:color w:val="FF0000"/>
          <w:sz w:val="24"/>
          <w:szCs w:val="24"/>
          <w:lang w:val="en-US" w:eastAsia="zh-CN"/>
        </w:rPr>
        <w:t>6、</w:t>
      </w:r>
      <w:r>
        <w:rPr>
          <w:rFonts w:hint="eastAsia" w:ascii="宋体" w:hAnsi="宋体" w:eastAsia="宋体" w:cs="宋体"/>
          <w:b/>
          <w:bCs/>
          <w:color w:val="FF0000"/>
          <w:sz w:val="24"/>
          <w:szCs w:val="24"/>
        </w:rPr>
        <w:t>投标人须保证所提交的检测报告及认证证书复印件等材料的真实性，采购人有权在</w:t>
      </w:r>
      <w:r>
        <w:rPr>
          <w:rFonts w:hint="eastAsia" w:ascii="宋体" w:hAnsi="宋体" w:eastAsia="宋体" w:cs="宋体"/>
          <w:b/>
          <w:bCs/>
          <w:color w:val="FF0000"/>
          <w:sz w:val="24"/>
          <w:szCs w:val="24"/>
          <w:lang w:eastAsia="zh-CN"/>
        </w:rPr>
        <w:t>合同签订后五个工作日内容要求中标人提供</w:t>
      </w:r>
      <w:r>
        <w:rPr>
          <w:rFonts w:hint="eastAsia" w:ascii="宋体" w:hAnsi="宋体" w:eastAsia="宋体" w:cs="宋体"/>
          <w:b/>
          <w:bCs/>
          <w:color w:val="FF0000"/>
          <w:sz w:val="24"/>
          <w:szCs w:val="24"/>
        </w:rPr>
        <w:t>检测报告及认证证书原件进行核查，若</w:t>
      </w:r>
      <w:r>
        <w:rPr>
          <w:rFonts w:hint="eastAsia" w:ascii="宋体" w:hAnsi="宋体" w:eastAsia="宋体" w:cs="宋体"/>
          <w:b/>
          <w:bCs/>
          <w:color w:val="FF0000"/>
          <w:sz w:val="24"/>
          <w:szCs w:val="24"/>
          <w:lang w:eastAsia="zh-CN"/>
        </w:rPr>
        <w:t>原件与</w:t>
      </w:r>
      <w:r>
        <w:rPr>
          <w:rFonts w:hint="eastAsia" w:ascii="宋体" w:hAnsi="宋体" w:eastAsia="宋体" w:cs="宋体"/>
          <w:b/>
          <w:bCs/>
          <w:color w:val="FF0000"/>
          <w:sz w:val="24"/>
          <w:szCs w:val="24"/>
        </w:rPr>
        <w:t>提交复印件材料不符，则视为虚假应标，</w:t>
      </w:r>
      <w:r>
        <w:rPr>
          <w:rFonts w:hint="eastAsia" w:ascii="宋体" w:hAnsi="宋体" w:eastAsia="宋体" w:cs="宋体"/>
          <w:b/>
          <w:bCs/>
          <w:color w:val="FF0000"/>
          <w:sz w:val="24"/>
          <w:szCs w:val="24"/>
          <w:lang w:eastAsia="zh-CN"/>
        </w:rPr>
        <w:t>采</w:t>
      </w:r>
      <w:r>
        <w:rPr>
          <w:rFonts w:hint="eastAsia" w:ascii="宋体" w:hAnsi="宋体" w:eastAsia="宋体" w:cs="宋体"/>
          <w:b/>
          <w:bCs/>
          <w:color w:val="FF0000"/>
          <w:sz w:val="24"/>
          <w:szCs w:val="24"/>
          <w:u w:val="none"/>
          <w:lang w:eastAsia="zh-CN"/>
        </w:rPr>
        <w:t>购</w:t>
      </w:r>
      <w:r>
        <w:rPr>
          <w:rFonts w:hint="eastAsia" w:ascii="宋体" w:hAnsi="宋体" w:eastAsia="宋体" w:cs="宋体"/>
          <w:b/>
          <w:bCs/>
          <w:color w:val="FF0000"/>
          <w:sz w:val="24"/>
          <w:szCs w:val="24"/>
          <w:lang w:eastAsia="zh-CN"/>
        </w:rPr>
        <w:t>有权终止本项目采购合同并</w:t>
      </w:r>
      <w:r>
        <w:rPr>
          <w:rFonts w:hint="eastAsia" w:ascii="宋体" w:hAnsi="宋体" w:eastAsia="宋体" w:cs="宋体"/>
          <w:b/>
          <w:bCs/>
          <w:color w:val="FF0000"/>
          <w:sz w:val="24"/>
          <w:szCs w:val="24"/>
        </w:rPr>
        <w:t>追究其法律、经济责任。</w:t>
      </w:r>
    </w:p>
    <w:p w14:paraId="2C4DFEC8">
      <w:pPr>
        <w:spacing w:line="360" w:lineRule="auto"/>
        <w:rPr>
          <w:rFonts w:hint="eastAsia" w:ascii="宋体" w:hAnsi="宋体" w:eastAsia="宋体" w:cs="宋体"/>
          <w:b/>
          <w:sz w:val="24"/>
          <w:szCs w:val="24"/>
        </w:rPr>
      </w:pPr>
      <w:r>
        <w:rPr>
          <w:rFonts w:hint="eastAsia" w:ascii="宋体" w:hAnsi="宋体" w:eastAsia="宋体" w:cs="宋体"/>
          <w:b/>
          <w:sz w:val="24"/>
          <w:szCs w:val="24"/>
        </w:rPr>
        <w:t>商务要求</w:t>
      </w:r>
    </w:p>
    <w:tbl>
      <w:tblPr>
        <w:tblStyle w:val="8"/>
        <w:tblW w:w="12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5"/>
        <w:gridCol w:w="1211"/>
        <w:gridCol w:w="2509"/>
        <w:gridCol w:w="8389"/>
      </w:tblGrid>
      <w:tr w14:paraId="73FD7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5" w:type="dxa"/>
          </w:tcPr>
          <w:p w14:paraId="2F810D6C">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11" w:type="dxa"/>
          </w:tcPr>
          <w:p w14:paraId="5B152DA0">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参数性质</w:t>
            </w:r>
          </w:p>
        </w:tc>
        <w:tc>
          <w:tcPr>
            <w:tcW w:w="2509" w:type="dxa"/>
          </w:tcPr>
          <w:p w14:paraId="06CC48CE">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类型</w:t>
            </w:r>
          </w:p>
        </w:tc>
        <w:tc>
          <w:tcPr>
            <w:tcW w:w="8389" w:type="dxa"/>
          </w:tcPr>
          <w:p w14:paraId="14F3ACFB">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要求</w:t>
            </w:r>
          </w:p>
        </w:tc>
      </w:tr>
      <w:tr w14:paraId="77C93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5" w:type="dxa"/>
          </w:tcPr>
          <w:p w14:paraId="30506F28">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11" w:type="dxa"/>
          </w:tcPr>
          <w:p w14:paraId="4E666011">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2509" w:type="dxa"/>
          </w:tcPr>
          <w:p w14:paraId="10719AE1">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交货时间</w:t>
            </w:r>
          </w:p>
        </w:tc>
        <w:tc>
          <w:tcPr>
            <w:tcW w:w="8389" w:type="dxa"/>
          </w:tcPr>
          <w:p w14:paraId="164325AD">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双方按先付款、后进度执行；甲方按合同约定节点足额支付对应款项后，乙方按约定完成相应工作。甲方逾期付款的，工期相应顺延，乙方不承担逾期责任。</w:t>
            </w:r>
          </w:p>
        </w:tc>
      </w:tr>
      <w:tr w14:paraId="75E70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5" w:type="dxa"/>
          </w:tcPr>
          <w:p w14:paraId="56B13658">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211" w:type="dxa"/>
          </w:tcPr>
          <w:p w14:paraId="757C91BD">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2509" w:type="dxa"/>
          </w:tcPr>
          <w:p w14:paraId="3D9AC665">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交货地点</w:t>
            </w:r>
          </w:p>
        </w:tc>
        <w:tc>
          <w:tcPr>
            <w:tcW w:w="8389" w:type="dxa"/>
          </w:tcPr>
          <w:p w14:paraId="2DFB0D80">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按采购人指定地点</w:t>
            </w:r>
          </w:p>
        </w:tc>
      </w:tr>
      <w:tr w14:paraId="6E9AF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5" w:type="dxa"/>
          </w:tcPr>
          <w:p w14:paraId="213AC1B8">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211" w:type="dxa"/>
          </w:tcPr>
          <w:p w14:paraId="45BCC81F">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2509" w:type="dxa"/>
          </w:tcPr>
          <w:p w14:paraId="3CC448D0">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交货条件</w:t>
            </w:r>
          </w:p>
        </w:tc>
        <w:tc>
          <w:tcPr>
            <w:tcW w:w="8389" w:type="dxa"/>
          </w:tcPr>
          <w:p w14:paraId="2833D722">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验收合格后交付使用</w:t>
            </w:r>
          </w:p>
        </w:tc>
      </w:tr>
      <w:tr w14:paraId="74B9D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5" w:type="dxa"/>
          </w:tcPr>
          <w:p w14:paraId="513FF2C8">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211" w:type="dxa"/>
          </w:tcPr>
          <w:p w14:paraId="2E4BD15C">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2509" w:type="dxa"/>
          </w:tcPr>
          <w:p w14:paraId="368026BE">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是否邀请投标人验收</w:t>
            </w:r>
          </w:p>
        </w:tc>
        <w:tc>
          <w:tcPr>
            <w:tcW w:w="8389" w:type="dxa"/>
          </w:tcPr>
          <w:p w14:paraId="29C31E8F">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不邀请投标人验收</w:t>
            </w:r>
          </w:p>
        </w:tc>
      </w:tr>
      <w:tr w14:paraId="03D0B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5" w:type="dxa"/>
          </w:tcPr>
          <w:p w14:paraId="71B44096">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211" w:type="dxa"/>
          </w:tcPr>
          <w:p w14:paraId="3EA9602E">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2509" w:type="dxa"/>
          </w:tcPr>
          <w:p w14:paraId="567B5372">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履约验收方式</w:t>
            </w:r>
          </w:p>
        </w:tc>
        <w:tc>
          <w:tcPr>
            <w:tcW w:w="8389" w:type="dxa"/>
          </w:tcPr>
          <w:p w14:paraId="576D9D4B">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1、期次1，说明：按合同要求验收</w:t>
            </w:r>
          </w:p>
        </w:tc>
      </w:tr>
      <w:tr w14:paraId="21773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5" w:type="dxa"/>
          </w:tcPr>
          <w:p w14:paraId="506C5A47">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211" w:type="dxa"/>
          </w:tcPr>
          <w:p w14:paraId="403B4A4D">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2509" w:type="dxa"/>
          </w:tcPr>
          <w:p w14:paraId="61FFF578">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合同支付方式</w:t>
            </w:r>
          </w:p>
        </w:tc>
        <w:tc>
          <w:tcPr>
            <w:tcW w:w="8389" w:type="dxa"/>
          </w:tcPr>
          <w:p w14:paraId="6229DB1D">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1、合同签订</w:t>
            </w:r>
            <w:r>
              <w:rPr>
                <w:rFonts w:hint="eastAsia" w:ascii="宋体" w:hAnsi="宋体" w:eastAsia="宋体" w:cs="宋体"/>
                <w:sz w:val="24"/>
                <w:szCs w:val="24"/>
                <w:lang w:val="en-US" w:eastAsia="zh-CN"/>
              </w:rPr>
              <w:t>生效</w:t>
            </w:r>
            <w:r>
              <w:rPr>
                <w:rFonts w:hint="eastAsia" w:ascii="宋体" w:hAnsi="宋体" w:eastAsia="宋体" w:cs="宋体"/>
                <w:sz w:val="24"/>
                <w:szCs w:val="24"/>
              </w:rPr>
              <w:t>后</w:t>
            </w:r>
            <w:r>
              <w:rPr>
                <w:rFonts w:hint="eastAsia" w:ascii="宋体" w:hAnsi="宋体" w:eastAsia="宋体" w:cs="宋体"/>
                <w:sz w:val="24"/>
                <w:szCs w:val="24"/>
                <w:lang w:val="en-US" w:eastAsia="zh-CN"/>
              </w:rPr>
              <w:t>3个工作日</w:t>
            </w:r>
            <w:r>
              <w:rPr>
                <w:rFonts w:hint="eastAsia" w:ascii="宋体" w:hAnsi="宋体" w:eastAsia="宋体" w:cs="宋体"/>
                <w:sz w:val="24"/>
                <w:szCs w:val="24"/>
              </w:rPr>
              <w:t>内，</w:t>
            </w:r>
            <w:r>
              <w:rPr>
                <w:rFonts w:hint="eastAsia" w:ascii="宋体" w:hAnsi="宋体" w:eastAsia="宋体" w:cs="宋体"/>
                <w:sz w:val="24"/>
                <w:szCs w:val="24"/>
                <w:lang w:val="en-US" w:eastAsia="zh-CN"/>
              </w:rPr>
              <w:t>甲方</w:t>
            </w:r>
            <w:r>
              <w:rPr>
                <w:rFonts w:hint="eastAsia" w:ascii="宋体" w:hAnsi="宋体" w:eastAsia="宋体" w:cs="宋体"/>
                <w:sz w:val="24"/>
                <w:szCs w:val="24"/>
              </w:rPr>
              <w:t>支付</w:t>
            </w:r>
            <w:r>
              <w:rPr>
                <w:rFonts w:hint="eastAsia" w:ascii="宋体" w:hAnsi="宋体" w:eastAsia="宋体" w:cs="宋体"/>
                <w:sz w:val="24"/>
                <w:szCs w:val="24"/>
                <w:lang w:val="en-US" w:eastAsia="zh-CN"/>
              </w:rPr>
              <w:t>预付款XX元。</w:t>
            </w:r>
          </w:p>
          <w:p w14:paraId="1297F1FF">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乙方按照乡镇，村级建设，甲方按合同签约价格支付进度款。</w:t>
            </w:r>
          </w:p>
          <w:p w14:paraId="149D1F52">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3、项目整体建设完成验收后7个工作日内，甲方支付至合同总金额的95%。</w:t>
            </w:r>
          </w:p>
          <w:p w14:paraId="1C8FF17C">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4、剩余5%作为质保金，质保期满后7个工作日内付清。</w:t>
            </w:r>
          </w:p>
        </w:tc>
      </w:tr>
      <w:tr w14:paraId="0BE5F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5" w:type="dxa"/>
          </w:tcPr>
          <w:p w14:paraId="58D366E8">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211" w:type="dxa"/>
          </w:tcPr>
          <w:p w14:paraId="769645F3">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2509" w:type="dxa"/>
          </w:tcPr>
          <w:p w14:paraId="4F24401D">
            <w:pPr>
              <w:pStyle w:val="2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履约保证金</w:t>
            </w:r>
          </w:p>
        </w:tc>
        <w:tc>
          <w:tcPr>
            <w:tcW w:w="8389" w:type="dxa"/>
          </w:tcPr>
          <w:p w14:paraId="58175177">
            <w:pPr>
              <w:pStyle w:val="2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不缴纳</w:t>
            </w:r>
          </w:p>
        </w:tc>
      </w:tr>
    </w:tbl>
    <w:p w14:paraId="2607BFE1">
      <w:pPr>
        <w:pStyle w:val="2"/>
        <w:spacing w:line="360" w:lineRule="auto"/>
        <w:jc w:val="both"/>
        <w:rPr>
          <w:rFonts w:hint="eastAsia"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魏碑_GBK">
    <w:altName w:val="宋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DE361"/>
    <w:multiLevelType w:val="singleLevel"/>
    <w:tmpl w:val="EB2DE361"/>
    <w:lvl w:ilvl="0" w:tentative="0">
      <w:start w:val="3"/>
      <w:numFmt w:val="decimal"/>
      <w:suff w:val="nothing"/>
      <w:lvlText w:val="%1、"/>
      <w:lvlJc w:val="left"/>
    </w:lvl>
  </w:abstractNum>
  <w:abstractNum w:abstractNumId="1">
    <w:nsid w:val="1DA182AA"/>
    <w:multiLevelType w:val="singleLevel"/>
    <w:tmpl w:val="1DA182A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ZWI5ODFhNDljMzQ5M2QwYWMwNzQ2NmUwN2FlOWMifQ=="/>
    <w:docVar w:name="KSO_WPS_MARK_KEY" w:val="47dbd753-0b81-46d6-8568-5daef904334c"/>
  </w:docVars>
  <w:rsids>
    <w:rsidRoot w:val="13B96647"/>
    <w:rsid w:val="00F46721"/>
    <w:rsid w:val="01A12D79"/>
    <w:rsid w:val="03265180"/>
    <w:rsid w:val="078828AD"/>
    <w:rsid w:val="09253B32"/>
    <w:rsid w:val="09A44E60"/>
    <w:rsid w:val="09EE5890"/>
    <w:rsid w:val="0B5E68E5"/>
    <w:rsid w:val="0B763EEC"/>
    <w:rsid w:val="0BF115AB"/>
    <w:rsid w:val="0CC05FE6"/>
    <w:rsid w:val="0DD9075E"/>
    <w:rsid w:val="0E0013EF"/>
    <w:rsid w:val="0E325320"/>
    <w:rsid w:val="134458CB"/>
    <w:rsid w:val="13B96647"/>
    <w:rsid w:val="13DD188A"/>
    <w:rsid w:val="14610484"/>
    <w:rsid w:val="147E12BF"/>
    <w:rsid w:val="14FF00A9"/>
    <w:rsid w:val="1A5403CD"/>
    <w:rsid w:val="1DB7738B"/>
    <w:rsid w:val="1F9B5CCD"/>
    <w:rsid w:val="20BE141C"/>
    <w:rsid w:val="21C40ADF"/>
    <w:rsid w:val="22026D28"/>
    <w:rsid w:val="23D42CAA"/>
    <w:rsid w:val="25A03144"/>
    <w:rsid w:val="26277872"/>
    <w:rsid w:val="27A04C51"/>
    <w:rsid w:val="27AD1EED"/>
    <w:rsid w:val="2AA96A4D"/>
    <w:rsid w:val="2AD02120"/>
    <w:rsid w:val="2C1C0177"/>
    <w:rsid w:val="2C30333B"/>
    <w:rsid w:val="2D3138E2"/>
    <w:rsid w:val="2DA37249"/>
    <w:rsid w:val="2DF506CE"/>
    <w:rsid w:val="2E3B041E"/>
    <w:rsid w:val="2F3C3830"/>
    <w:rsid w:val="2F860BD0"/>
    <w:rsid w:val="32946609"/>
    <w:rsid w:val="33185FE3"/>
    <w:rsid w:val="36BC78BC"/>
    <w:rsid w:val="373B05AC"/>
    <w:rsid w:val="37790ADF"/>
    <w:rsid w:val="3C720E5A"/>
    <w:rsid w:val="3E5527E2"/>
    <w:rsid w:val="3F607600"/>
    <w:rsid w:val="407A208B"/>
    <w:rsid w:val="421B2551"/>
    <w:rsid w:val="424544F7"/>
    <w:rsid w:val="440B5E1C"/>
    <w:rsid w:val="45723C79"/>
    <w:rsid w:val="45D84426"/>
    <w:rsid w:val="48646FB0"/>
    <w:rsid w:val="48733B9D"/>
    <w:rsid w:val="49E650C6"/>
    <w:rsid w:val="4B5E0F27"/>
    <w:rsid w:val="4CBD7ED0"/>
    <w:rsid w:val="4DF80A94"/>
    <w:rsid w:val="51350970"/>
    <w:rsid w:val="53DE5117"/>
    <w:rsid w:val="56BC0FC8"/>
    <w:rsid w:val="589C32F5"/>
    <w:rsid w:val="591043AD"/>
    <w:rsid w:val="5ADF3707"/>
    <w:rsid w:val="5D4F73F2"/>
    <w:rsid w:val="604D335B"/>
    <w:rsid w:val="62C3565C"/>
    <w:rsid w:val="62F16B66"/>
    <w:rsid w:val="62FE04A2"/>
    <w:rsid w:val="63FD7D91"/>
    <w:rsid w:val="65130235"/>
    <w:rsid w:val="662B6812"/>
    <w:rsid w:val="67700D00"/>
    <w:rsid w:val="68727968"/>
    <w:rsid w:val="68EF720B"/>
    <w:rsid w:val="6985191D"/>
    <w:rsid w:val="6A8A71EB"/>
    <w:rsid w:val="6AEB7C09"/>
    <w:rsid w:val="6DE26885"/>
    <w:rsid w:val="6E22356C"/>
    <w:rsid w:val="6FB84C00"/>
    <w:rsid w:val="70211321"/>
    <w:rsid w:val="70694B5C"/>
    <w:rsid w:val="707D6EAA"/>
    <w:rsid w:val="70B71BF9"/>
    <w:rsid w:val="71997D14"/>
    <w:rsid w:val="724A4DAE"/>
    <w:rsid w:val="72A30E2B"/>
    <w:rsid w:val="733E493B"/>
    <w:rsid w:val="766D293B"/>
    <w:rsid w:val="77660698"/>
    <w:rsid w:val="777E1BDA"/>
    <w:rsid w:val="78DA0F22"/>
    <w:rsid w:val="78F41CD4"/>
    <w:rsid w:val="7B164037"/>
    <w:rsid w:val="7B55618E"/>
    <w:rsid w:val="7C265C01"/>
    <w:rsid w:val="7C7C62B1"/>
    <w:rsid w:val="7CB57626"/>
    <w:rsid w:val="7F962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7"/>
    <w:pPr>
      <w:jc w:val="center"/>
      <w:outlineLvl w:val="0"/>
    </w:pPr>
    <w:rPr>
      <w:rFonts w:ascii="Times New Roman" w:hAnsi="Times New Roman" w:eastAsia="Times New Roman"/>
      <w:b/>
      <w:sz w:val="28"/>
      <w:szCs w:val="28"/>
    </w:rPr>
  </w:style>
  <w:style w:type="paragraph" w:styleId="3">
    <w:name w:val="heading 2"/>
    <w:basedOn w:val="1"/>
    <w:next w:val="1"/>
    <w:qFormat/>
    <w:uiPriority w:val="0"/>
    <w:pPr>
      <w:keepNext/>
      <w:keepLines/>
      <w:spacing w:before="260" w:after="260" w:line="415" w:lineRule="auto"/>
      <w:ind w:firstLine="200" w:firstLineChars="200"/>
      <w:outlineLvl w:val="1"/>
    </w:pPr>
    <w:rPr>
      <w:rFonts w:ascii="Cambria" w:hAnsi="Cambria" w:eastAsia="方正魏碑_GBK"/>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semiHidden/>
    <w:unhideWhenUsed/>
    <w:qFormat/>
    <w:uiPriority w:val="99"/>
    <w:pPr>
      <w:spacing w:after="120"/>
    </w:pPr>
  </w:style>
  <w:style w:type="paragraph" w:styleId="6">
    <w:name w:val="Body Text 2"/>
    <w:basedOn w:val="1"/>
    <w:qFormat/>
    <w:uiPriority w:val="0"/>
    <w:pPr>
      <w:spacing w:after="120" w:line="480" w:lineRule="auto"/>
    </w:pPr>
    <w:rPr>
      <w:rFonts w:ascii="Times New Roman" w:hAnsi="Times New Roman" w:eastAsia="宋体" w:cs="Times New Roman"/>
    </w:rPr>
  </w:style>
  <w:style w:type="paragraph" w:styleId="7">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91"/>
    <w:basedOn w:val="9"/>
    <w:qFormat/>
    <w:uiPriority w:val="0"/>
    <w:rPr>
      <w:rFonts w:hint="eastAsia" w:ascii="宋体" w:hAnsi="宋体" w:eastAsia="宋体" w:cs="宋体"/>
      <w:color w:val="000000"/>
      <w:sz w:val="21"/>
      <w:szCs w:val="21"/>
      <w:u w:val="none"/>
    </w:rPr>
  </w:style>
  <w:style w:type="character" w:customStyle="1" w:styleId="12">
    <w:name w:val="font81"/>
    <w:basedOn w:val="9"/>
    <w:qFormat/>
    <w:uiPriority w:val="0"/>
    <w:rPr>
      <w:rFonts w:hint="default" w:ascii="Arial" w:hAnsi="Arial" w:cs="Arial"/>
      <w:color w:val="000000"/>
      <w:sz w:val="21"/>
      <w:szCs w:val="21"/>
      <w:u w:val="none"/>
    </w:rPr>
  </w:style>
  <w:style w:type="character" w:customStyle="1" w:styleId="13">
    <w:name w:val="font101"/>
    <w:basedOn w:val="9"/>
    <w:qFormat/>
    <w:uiPriority w:val="0"/>
    <w:rPr>
      <w:rFonts w:hint="default" w:ascii="Arial" w:hAnsi="Arial" w:cs="Arial"/>
      <w:color w:val="FF0000"/>
      <w:sz w:val="21"/>
      <w:szCs w:val="21"/>
      <w:u w:val="none"/>
    </w:rPr>
  </w:style>
  <w:style w:type="character" w:customStyle="1" w:styleId="14">
    <w:name w:val="font61"/>
    <w:basedOn w:val="9"/>
    <w:qFormat/>
    <w:uiPriority w:val="0"/>
    <w:rPr>
      <w:rFonts w:hint="eastAsia" w:ascii="宋体" w:hAnsi="宋体" w:eastAsia="宋体" w:cs="宋体"/>
      <w:color w:val="FF0000"/>
      <w:sz w:val="21"/>
      <w:szCs w:val="21"/>
      <w:u w:val="none"/>
    </w:rPr>
  </w:style>
  <w:style w:type="character" w:customStyle="1" w:styleId="15">
    <w:name w:val="font51"/>
    <w:basedOn w:val="9"/>
    <w:qFormat/>
    <w:uiPriority w:val="0"/>
    <w:rPr>
      <w:rFonts w:hint="eastAsia" w:ascii="宋体" w:hAnsi="宋体" w:eastAsia="宋体" w:cs="宋体"/>
      <w:color w:val="000000"/>
      <w:sz w:val="21"/>
      <w:szCs w:val="21"/>
      <w:u w:val="none"/>
    </w:rPr>
  </w:style>
  <w:style w:type="character" w:customStyle="1" w:styleId="16">
    <w:name w:val="font41"/>
    <w:basedOn w:val="9"/>
    <w:qFormat/>
    <w:uiPriority w:val="0"/>
    <w:rPr>
      <w:rFonts w:hint="default" w:ascii="Arial" w:hAnsi="Arial" w:cs="Arial"/>
      <w:color w:val="000000"/>
      <w:sz w:val="21"/>
      <w:szCs w:val="21"/>
      <w:u w:val="none"/>
    </w:rPr>
  </w:style>
  <w:style w:type="character" w:customStyle="1" w:styleId="17">
    <w:name w:val="font71"/>
    <w:basedOn w:val="9"/>
    <w:qFormat/>
    <w:uiPriority w:val="0"/>
    <w:rPr>
      <w:rFonts w:hint="eastAsia" w:ascii="宋体" w:hAnsi="宋体" w:eastAsia="宋体" w:cs="宋体"/>
      <w:color w:val="FF0000"/>
      <w:sz w:val="21"/>
      <w:szCs w:val="21"/>
      <w:u w:val="none"/>
    </w:rPr>
  </w:style>
  <w:style w:type="character" w:customStyle="1" w:styleId="18">
    <w:name w:val="font31"/>
    <w:basedOn w:val="9"/>
    <w:qFormat/>
    <w:uiPriority w:val="0"/>
    <w:rPr>
      <w:rFonts w:hint="default" w:ascii="Arial" w:hAnsi="Arial" w:cs="Arial"/>
      <w:color w:val="000000"/>
      <w:sz w:val="21"/>
      <w:szCs w:val="21"/>
      <w:u w:val="none"/>
    </w:rPr>
  </w:style>
  <w:style w:type="paragraph" w:customStyle="1" w:styleId="19">
    <w:name w:val="BodyText"/>
    <w:basedOn w:val="1"/>
    <w:qFormat/>
    <w:uiPriority w:val="0"/>
    <w:pPr>
      <w:widowControl w:val="0"/>
      <w:spacing w:line="380" w:lineRule="exact"/>
      <w:textAlignment w:val="baseline"/>
    </w:pPr>
    <w:rPr>
      <w:rFonts w:eastAsia="宋体" w:cs="Times New Roman"/>
      <w:kern w:val="2"/>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paragraph" w:customStyle="1" w:styleId="21">
    <w:name w:val="Fließtext"/>
    <w:basedOn w:val="1"/>
    <w:qFormat/>
    <w:uiPriority w:val="0"/>
    <w:pPr>
      <w:overflowPunct w:val="0"/>
      <w:autoSpaceDE w:val="0"/>
      <w:autoSpaceDN w:val="0"/>
      <w:adjustRightInd w:val="0"/>
      <w:textAlignment w:val="baseline"/>
    </w:pPr>
    <w:rPr>
      <w:kern w:val="28"/>
      <w:szCs w:val="20"/>
    </w:rPr>
  </w:style>
  <w:style w:type="paragraph" w:customStyle="1" w:styleId="22">
    <w:name w:val="正文（缩进）"/>
    <w:basedOn w:val="1"/>
    <w:qFormat/>
    <w:uiPriority w:val="0"/>
    <w:pPr>
      <w:spacing w:before="156" w:after="156"/>
    </w:pPr>
    <w:rPr>
      <w:szCs w:val="20"/>
    </w:rPr>
  </w:style>
  <w:style w:type="character" w:customStyle="1" w:styleId="23">
    <w:name w:val="font21"/>
    <w:basedOn w:val="9"/>
    <w:qFormat/>
    <w:uiPriority w:val="0"/>
    <w:rPr>
      <w:rFonts w:hint="eastAsia" w:ascii="宋体" w:hAnsi="宋体" w:eastAsia="宋体" w:cs="宋体"/>
      <w:color w:val="000000"/>
      <w:sz w:val="21"/>
      <w:szCs w:val="21"/>
      <w:u w:val="none"/>
    </w:rPr>
  </w:style>
  <w:style w:type="character" w:customStyle="1" w:styleId="24">
    <w:name w:val="font11"/>
    <w:basedOn w:val="9"/>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16168</Words>
  <Characters>18786</Characters>
  <Lines>0</Lines>
  <Paragraphs>0</Paragraphs>
  <TotalTime>1</TotalTime>
  <ScaleCrop>false</ScaleCrop>
  <LinksUpToDate>false</LinksUpToDate>
  <CharactersWithSpaces>19111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2025-02-05T02:41:00Z</dcterms:created>
  <dc:creator>小样</dc:creator>
  <cp:lastModifiedBy>为人民服务</cp:lastModifiedBy>
  <dcterms:modified xsi:type="dcterms:W3CDTF">2026-04-30T14:51:59Z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53625725DF884116B35FED1CF012B7EB_13</vt:lpwstr>
  </property>
  <property fmtid="{D5CDD505-2E9C-101B-9397-08002B2CF9AE}" pid="4" name="KSOTemplateDocerSaveRecord">
    <vt:lpwstr>eyJoZGlkIjoiMzEwNTM5NzYwMDRjMzkwZTVkZjY2ODkwMGIxNGU0OTUiLCJ1c2VySWQiOiIzNDE4MTc0NjEifQ==</vt:lpwstr>
  </property>
</Properties>
</file>